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Pr>
        <w:drawing>
          <wp:inline distB="0" distT="0" distL="114300" distR="114300">
            <wp:extent cx="1798320" cy="828040"/>
            <wp:effectExtent b="0" l="0" r="0" t="0"/>
            <wp:docPr descr="https://lh5.googleusercontent.com/kzi3hbChmwd7G-QdX9u5rlGhzSRYAHIHz3GP8z_tLGxHWV-wlR4W0rI5nXa2-AA7Z6FqPka87Z3Ceq6ghqjvQtCk7X99qtCBIAU317CSYTFvGblJ5Mjy5Ag-nwyel0nvLqkA9li7kaaQ8v-I5w" id="2" name="image1.png"/>
            <a:graphic>
              <a:graphicData uri="http://schemas.openxmlformats.org/drawingml/2006/picture">
                <pic:pic>
                  <pic:nvPicPr>
                    <pic:cNvPr descr="https://lh5.googleusercontent.com/kzi3hbChmwd7G-QdX9u5rlGhzSRYAHIHz3GP8z_tLGxHWV-wlR4W0rI5nXa2-AA7Z6FqPka87Z3Ceq6ghqjvQtCk7X99qtCBIAU317CSYTFvGblJ5Mjy5Ag-nwyel0nvLqkA9li7kaaQ8v-I5w" id="0" name="image1.png"/>
                    <pic:cNvPicPr preferRelativeResize="0"/>
                  </pic:nvPicPr>
                  <pic:blipFill>
                    <a:blip r:embed="rId7"/>
                    <a:srcRect b="0" l="0" r="0" t="0"/>
                    <a:stretch>
                      <a:fillRect/>
                    </a:stretch>
                  </pic:blipFill>
                  <pic:spPr>
                    <a:xfrm>
                      <a:off x="0" y="0"/>
                      <a:ext cx="1798320" cy="8280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Αθήνα, 3 Φεβρουαρίου 2023</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b w:val="1"/>
          <w:color w:val="000000"/>
          <w:sz w:val="24"/>
          <w:szCs w:val="24"/>
          <w:rtl w:val="0"/>
        </w:rPr>
        <w:t xml:space="preserve">ΕΡΩΤΗΣΗ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Προς τον κ. Υπουργό Οικονομικών</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Θέμα:</w:t>
      </w: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«Μισθολογική αποκατάσταση των υπαλλήλων Υπουργείου Οικονομικών οι οποίοι ανέλαβαν υπηρεσία μετά την 11η Οκτωβρίου 2018»</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Ήδη από τον Φεβρουάριο του 2022, σας υποβάλλαμε </w:t>
      </w:r>
      <w:r w:rsidDel="00000000" w:rsidR="00000000" w:rsidRPr="00000000">
        <w:rPr>
          <w:sz w:val="24"/>
          <w:szCs w:val="24"/>
          <w:rtl w:val="0"/>
        </w:rPr>
        <w:t xml:space="preserve">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ρώτηση αναφορικά με τη μισθολογική αποκατάσταση των υπαλλήλων Υπουργείου Οικονομικών, οι οποίοι ανέλαβαν υπηρεσία μετά την 11η Οκτωβρίου 2018 (3578/28.2.2022), στην οποία μας απάντησε ο Αναπληρωτής Υπουργός Οικονομικών, κ. Σκυλακάκης ότι  τα μισθολογικά αιτήματα των υπαλλήλων του Υπουργείου Οικονομικών θα εξετασθούν στο πλαίσιο αναμόρφωσης του θεσμικού πλαισίου. Δυστυχώς μέχρι σήμερα, ένα χρόνο μετά, το αίτημα εκκρεμεί.</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Η προσωπική διαφορά που συνιστά στοιχείο του προσωπικού μισθολογικού προφίλ κάθε υπαλλήλου, είναι συνάρτηση της σύγκρισης των αποδοχών του αμέσως πριν και μετά την εφαρμογή του ν.4024/2011.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Θεσμοθετήθηκε ως μια προστατευτική μεταβατική διάταξη προσωπικού χαρακτήρα, η οποία διατηρήθηκε και με τις νέες μισθολογικές διατάξεις του άρθρου.27 του ν.4354/2015.</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Συγκεκριμένα προβλέφθηκε η χορήγηση της προσωπικής διαφοράς της παρ. 1 του άρθρου 27 του ν. </w:t>
      </w: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4354/2015</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(Α΄ 176), όπως αυτή διαμορφώθηκε κατ΄ εφαρμογή των διατάξεων της παρ. 2 του άρθρου 29 του ν. </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4024/2011</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(Α΄ 226).</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Με τις μεταγενέστερες ρυθμίσεις της παρ.1α του αρ.45 του ν.4569/2018 χορηγήθηκε η εν λόγω προσωπική διαφορά σε υπαλλήλους που έχουν διοριστεί ή μεταταχθεί μετά την 1-11-2011 έως και την ημερομηνία δημοσίευσης του παρόντος νόμου, ήτοι την 11η-10-2018 σ</w:t>
      </w:r>
      <w:r w:rsidDel="00000000" w:rsidR="00000000" w:rsidRPr="00000000">
        <w:rPr>
          <w:sz w:val="24"/>
          <w:szCs w:val="24"/>
          <w:rtl w:val="0"/>
        </w:rPr>
        <w:t xml:space="preserve">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φορείς υπηρεσιών του Υπουργείου Οικονομικών.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Επειδή,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η αδυναμία λήψης της προσωπικής διαφοράς από υπαλλήλους που έχουν διοριστεί ή μεταταχθεί σε δομές του Υπουργείου Οικονομικών, μετά την 11η Οκτωβρίου 2018, αποτελεί άνιση μισθολογική μεταχείριση, σε σχέση με τους συναδέλφους τους και μετατάχθηκαν πριν την συγκεκριμένη ημερομηνία.</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Επειδή,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οι συγκεκριμένοι υπάλληλοι, αν και παρέχουν την ίδια ακριβώς εργασία, στις ίδιες συνθήκες, με τα ίδια προσόντα, σε σχέση με τους συναδέλφους τους, που λαμβάνουν το επίδομα, υφίστανται διάκριση λόγω αυτής της μισθολογικής διαφοράς.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Ερωτάται ο Αρμόδιος Υπουργός:</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center"/>
        <w:rPr>
          <w:b w:val="1"/>
          <w:sz w:val="24"/>
          <w:szCs w:val="24"/>
        </w:rPr>
      </w:pPr>
      <w:bookmarkStart w:colFirst="0" w:colLast="0" w:name="_heading=h.gny0xrhr3pkd" w:id="9"/>
      <w:bookmarkEnd w:id="9"/>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91.99999999999994" w:lineRule="auto"/>
        <w:ind w:left="1051" w:right="47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Έχουν εξεταστεί τα μισθολογικά αιτήματα των υπαλλήλων του Υπουργείου Οικονομικών που έχουν διοριστεί ή μεταταχθεί σε δομές του Υπουργείου Οικονομικών, μετά την 11η Οκτωβρίου 2018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91.99999999999994" w:lineRule="auto"/>
        <w:ind w:left="1051" w:right="47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Πώς θα αναδιαμορφωθεί το θεσμικό πλαίσιο, ώστε να αποκατασταθούν μισθολογικά οι συγκεκριμένοι υπάλληλοι;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51" w:right="471"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s8eyo1" w:id="10"/>
      <w:bookmarkEnd w:id="10"/>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Οι ερωτώντες Βουλευτές</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Βαρδάκης Σωκράτης</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Ηγουμενίδης Νικόλαος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Μαμουλάκης Χαράλαμπος (Χάρης)</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440" w:right="471" w:firstLine="0"/>
        <w:jc w:val="center"/>
        <w:rPr>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Αδαμοπούλου Αγγελική</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Αλεξιάδης Τρύφων</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Βέττα Καλλιόπη</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Γκαρά Αναστασία (Νατάσα)</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Δρίτσας Θεόδωρος</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Θραψανιώτης Εμμανουήλ</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Κασιμάτη Ειρήνη (Νίνα)</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Καφαντάρη Χαρούλα (Χαρά)</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Κόκκαλης Βασίλειος</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Μάλαμα Κυριακή</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Μάρκου Κωνσταντίνος</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Μεϊκόπουλος Αλέξανδρος</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Μιχαηλίδης Ανδρέας</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Μπακαδήμα Φωτεινή</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Μπουρνούς Ιωάννης</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Μωραΐτης Αθανάσιος (Θάνος)</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Ξενογιαννακοπούλου Μαρία - Ελίζα (Μαριλίζα)</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Παπαδόπουλος Αθανάσιος</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Παπαηλιού Γεώργιος</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Παπανάτσιου Αικατερίνη</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Πολάκης Παύλος</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Πούλου Παναγιού (Γιώτα)</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Σκούφα Ελισσάβετ (Μπέττυ)</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Συρμαλένιος Νικόλαος</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Τσακαλώτος Ευκλείδης</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Φάμελλος Σωκράτης</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Φίλης Νικόλαος</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Φωτίου Θεανώ</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Χατζηγιαννάκης Μιλτιάδης</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Χρηστίδου Ραλλία</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720" w:right="471" w:firstLine="0"/>
        <w:jc w:val="center"/>
        <w:rPr>
          <w:b w:val="1"/>
          <w:sz w:val="24"/>
          <w:szCs w:val="24"/>
        </w:rPr>
      </w:pPr>
      <w:r w:rsidDel="00000000" w:rsidR="00000000" w:rsidRPr="00000000">
        <w:rPr>
          <w:b w:val="1"/>
          <w:sz w:val="24"/>
          <w:szCs w:val="24"/>
          <w:rtl w:val="0"/>
        </w:rPr>
        <w:t xml:space="preserve">Ψυχογιός Γεώργιος</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31" w:right="471" w:firstLine="42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276" w:lineRule="auto"/>
        <w:jc w:val="center"/>
        <w:rPr>
          <w:rFonts w:ascii="Arial" w:cs="Arial" w:eastAsia="Arial" w:hAnsi="Arial"/>
          <w:color w:val="000000"/>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51" w:hanging="360"/>
      </w:pPr>
      <w:rPr/>
    </w:lvl>
    <w:lvl w:ilvl="1">
      <w:start w:val="1"/>
      <w:numFmt w:val="lowerLetter"/>
      <w:lvlText w:val="%2."/>
      <w:lvlJc w:val="left"/>
      <w:pPr>
        <w:ind w:left="1771" w:hanging="360"/>
      </w:pPr>
      <w:rPr/>
    </w:lvl>
    <w:lvl w:ilvl="2">
      <w:start w:val="1"/>
      <w:numFmt w:val="lowerRoman"/>
      <w:lvlText w:val="%3."/>
      <w:lvlJc w:val="right"/>
      <w:pPr>
        <w:ind w:left="2491" w:hanging="180"/>
      </w:pPr>
      <w:rPr/>
    </w:lvl>
    <w:lvl w:ilvl="3">
      <w:start w:val="1"/>
      <w:numFmt w:val="decimal"/>
      <w:lvlText w:val="%4."/>
      <w:lvlJc w:val="left"/>
      <w:pPr>
        <w:ind w:left="3211" w:hanging="360"/>
      </w:pPr>
      <w:rPr/>
    </w:lvl>
    <w:lvl w:ilvl="4">
      <w:start w:val="1"/>
      <w:numFmt w:val="lowerLetter"/>
      <w:lvlText w:val="%5."/>
      <w:lvlJc w:val="left"/>
      <w:pPr>
        <w:ind w:left="3931" w:hanging="360"/>
      </w:pPr>
      <w:rPr/>
    </w:lvl>
    <w:lvl w:ilvl="5">
      <w:start w:val="1"/>
      <w:numFmt w:val="lowerRoman"/>
      <w:lvlText w:val="%6."/>
      <w:lvlJc w:val="right"/>
      <w:pPr>
        <w:ind w:left="4651" w:hanging="180"/>
      </w:pPr>
      <w:rPr/>
    </w:lvl>
    <w:lvl w:ilvl="6">
      <w:start w:val="1"/>
      <w:numFmt w:val="decimal"/>
      <w:lvlText w:val="%7."/>
      <w:lvlJc w:val="left"/>
      <w:pPr>
        <w:ind w:left="5371" w:hanging="360"/>
      </w:pPr>
      <w:rPr/>
    </w:lvl>
    <w:lvl w:ilvl="7">
      <w:start w:val="1"/>
      <w:numFmt w:val="lowerLetter"/>
      <w:lvlText w:val="%8."/>
      <w:lvlJc w:val="left"/>
      <w:pPr>
        <w:ind w:left="6091" w:hanging="360"/>
      </w:pPr>
      <w:rPr/>
    </w:lvl>
    <w:lvl w:ilvl="8">
      <w:start w:val="1"/>
      <w:numFmt w:val="lowerRoman"/>
      <w:lvlText w:val="%9."/>
      <w:lvlJc w:val="right"/>
      <w:pPr>
        <w:ind w:left="681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a5">
    <w:name w:val="Balloon Text"/>
    <w:basedOn w:val="a"/>
    <w:link w:val="Char"/>
    <w:uiPriority w:val="99"/>
    <w:semiHidden w:val="1"/>
    <w:unhideWhenUsed w:val="1"/>
    <w:rsid w:val="00010A05"/>
    <w:rPr>
      <w:rFonts w:ascii="Tahoma" w:cs="Tahoma" w:hAnsi="Tahoma"/>
      <w:sz w:val="16"/>
      <w:szCs w:val="16"/>
    </w:rPr>
  </w:style>
  <w:style w:type="character" w:styleId="Char" w:customStyle="1">
    <w:name w:val="Κείμενο πλαισίου Char"/>
    <w:basedOn w:val="a0"/>
    <w:link w:val="a5"/>
    <w:uiPriority w:val="99"/>
    <w:semiHidden w:val="1"/>
    <w:rsid w:val="00010A05"/>
    <w:rPr>
      <w:rFonts w:ascii="Tahoma" w:cs="Tahoma" w:hAnsi="Tahoma"/>
      <w:sz w:val="16"/>
      <w:szCs w:val="16"/>
    </w:rPr>
  </w:style>
  <w:style w:type="paragraph" w:styleId="a6">
    <w:name w:val="Body Text"/>
    <w:basedOn w:val="a"/>
    <w:link w:val="Char0"/>
    <w:uiPriority w:val="1"/>
    <w:qFormat w:val="1"/>
    <w:rsid w:val="00010A05"/>
    <w:pPr>
      <w:widowControl w:val="0"/>
      <w:autoSpaceDE w:val="0"/>
      <w:autoSpaceDN w:val="0"/>
    </w:pPr>
    <w:rPr>
      <w:rFonts w:ascii="Microsoft Sans Serif" w:cs="Microsoft Sans Serif" w:eastAsia="Microsoft Sans Serif" w:hAnsi="Microsoft Sans Serif"/>
      <w:sz w:val="22"/>
      <w:szCs w:val="22"/>
      <w:lang w:eastAsia="en-US"/>
    </w:rPr>
  </w:style>
  <w:style w:type="character" w:styleId="Char0" w:customStyle="1">
    <w:name w:val="Σώμα κειμένου Char"/>
    <w:basedOn w:val="a0"/>
    <w:link w:val="a6"/>
    <w:uiPriority w:val="1"/>
    <w:rsid w:val="00010A05"/>
    <w:rPr>
      <w:rFonts w:ascii="Microsoft Sans Serif" w:cs="Microsoft Sans Serif" w:eastAsia="Microsoft Sans Serif" w:hAnsi="Microsoft Sans Serif"/>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xheaven.gr/laws/law/index/law/39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taxheaven.gr/laws/law/index/law/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XEPEttYVmYsUtW8HYAPzjKlcnw==">AMUW2mVgRJ5YPCpoDKn6HTkWWeODgIaw9ayElAukQbijNUkRiCfUGZzNuMFmuZMpD1P3sZ7XIZXoeAPsUdCYAnlSYl6O9L3qnW2wIA026rt75gKnbIHi92dZGuLeE4o936abmsEWqA8KYUX/sB/J5tQ7WtKWd/kZkuXpUl/8s5o9G0rAmh1z5nYO1MLXsgTd/9kV3E+aPRjquahroS40kHCB3sMO1L6A0IgFwVG32tncdIDNWx7z5kf47Y1GCZuZGfWlmzgb07bp4y/vPtmVfhBhLbqZLMIj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2023-01-31T12:34:00Z</dcterms:created>
  <dc:creator>Κατερίνα</dc:creator>
</cp:coreProperties>
</file>