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A5E" w:rsidRPr="008C1AF9" w:rsidRDefault="006E2A5E" w:rsidP="006E2A5E">
      <w:pPr>
        <w:spacing w:after="160" w:line="360" w:lineRule="auto"/>
        <w:jc w:val="center"/>
        <w:rPr>
          <w:rFonts w:ascii="Calibri" w:eastAsia="Times New Roman" w:hAnsi="Calibri" w:cs="Calibri"/>
          <w:sz w:val="32"/>
          <w:szCs w:val="32"/>
          <w:lang w:val="el-GR" w:eastAsia="en-GB"/>
        </w:rPr>
      </w:pPr>
      <w:r w:rsidRPr="008C1AF9">
        <w:rPr>
          <w:rFonts w:ascii="Calibri" w:eastAsia="Times New Roman" w:hAnsi="Calibri" w:cs="Calibri"/>
          <w:b/>
          <w:noProof/>
          <w:sz w:val="32"/>
          <w:szCs w:val="32"/>
          <w:shd w:val="clear" w:color="auto" w:fill="FFFFFF"/>
          <w:lang w:val="el-GR" w:eastAsia="el-GR"/>
        </w:rPr>
        <w:drawing>
          <wp:inline distT="0" distB="0" distL="0" distR="0">
            <wp:extent cx="1047750" cy="561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0651" cy="563258"/>
                    </a:xfrm>
                    <a:prstGeom prst="rect">
                      <a:avLst/>
                    </a:prstGeom>
                    <a:noFill/>
                    <a:ln>
                      <a:noFill/>
                    </a:ln>
                  </pic:spPr>
                </pic:pic>
              </a:graphicData>
            </a:graphic>
          </wp:inline>
        </w:drawing>
      </w:r>
    </w:p>
    <w:p w:rsidR="006E2A5E" w:rsidRPr="00982569" w:rsidRDefault="006E2A5E" w:rsidP="006E2A5E">
      <w:pPr>
        <w:spacing w:after="160" w:line="360" w:lineRule="auto"/>
        <w:jc w:val="center"/>
        <w:rPr>
          <w:rFonts w:ascii="Calibri" w:eastAsia="Times New Roman" w:hAnsi="Calibri" w:cs="Calibri"/>
          <w:sz w:val="8"/>
          <w:szCs w:val="8"/>
          <w:lang w:val="el-GR" w:eastAsia="en-GB"/>
        </w:rPr>
      </w:pPr>
    </w:p>
    <w:p w:rsidR="006E2A5E" w:rsidRDefault="006E2A5E" w:rsidP="006E2A5E">
      <w:pPr>
        <w:spacing w:after="160" w:line="360" w:lineRule="auto"/>
        <w:jc w:val="center"/>
        <w:rPr>
          <w:rFonts w:ascii="Calibri" w:eastAsia="Times New Roman" w:hAnsi="Calibri" w:cs="Calibri"/>
          <w:sz w:val="32"/>
          <w:szCs w:val="32"/>
          <w:u w:val="single"/>
          <w:lang w:val="el-GR" w:eastAsia="en-GB"/>
        </w:rPr>
      </w:pPr>
      <w:r w:rsidRPr="008C1AF9">
        <w:rPr>
          <w:rFonts w:ascii="Calibri" w:eastAsia="Times New Roman" w:hAnsi="Calibri" w:cs="Calibri"/>
          <w:sz w:val="32"/>
          <w:szCs w:val="32"/>
          <w:u w:val="single"/>
          <w:lang w:val="el-GR" w:eastAsia="en-GB"/>
        </w:rPr>
        <w:t>ΔΕΛΤΙΟ ΤΥΠΟΥ</w:t>
      </w:r>
    </w:p>
    <w:p w:rsidR="00CE2E3A" w:rsidRPr="00ED465E" w:rsidRDefault="00CE2E3A" w:rsidP="006E2A5E">
      <w:pPr>
        <w:spacing w:after="160" w:line="360" w:lineRule="auto"/>
        <w:jc w:val="center"/>
        <w:rPr>
          <w:rFonts w:ascii="Calibri" w:eastAsia="Times New Roman" w:hAnsi="Calibri" w:cs="Calibri"/>
          <w:sz w:val="32"/>
          <w:szCs w:val="32"/>
          <w:u w:val="single"/>
          <w:lang w:val="el-GR" w:eastAsia="en-GB"/>
        </w:rPr>
      </w:pPr>
    </w:p>
    <w:p w:rsidR="006E2A5E" w:rsidRPr="00786083" w:rsidRDefault="006E2A5E" w:rsidP="00786083">
      <w:pPr>
        <w:pStyle w:val="a3"/>
        <w:numPr>
          <w:ilvl w:val="0"/>
          <w:numId w:val="1"/>
        </w:numPr>
        <w:spacing w:line="360" w:lineRule="auto"/>
        <w:jc w:val="both"/>
        <w:rPr>
          <w:b/>
          <w:bCs/>
          <w:sz w:val="28"/>
          <w:szCs w:val="28"/>
          <w:lang w:val="el-GR"/>
        </w:rPr>
      </w:pPr>
      <w:r w:rsidRPr="00786083">
        <w:rPr>
          <w:b/>
          <w:bCs/>
          <w:sz w:val="28"/>
          <w:szCs w:val="28"/>
          <w:lang w:val="el-GR"/>
        </w:rPr>
        <w:t xml:space="preserve">Απάντηση του </w:t>
      </w:r>
      <w:r w:rsidR="000402AD">
        <w:rPr>
          <w:b/>
          <w:bCs/>
          <w:sz w:val="28"/>
          <w:szCs w:val="28"/>
          <w:lang w:val="el-GR"/>
        </w:rPr>
        <w:t>Α</w:t>
      </w:r>
      <w:r w:rsidRPr="00786083">
        <w:rPr>
          <w:b/>
          <w:bCs/>
          <w:sz w:val="28"/>
          <w:szCs w:val="28"/>
          <w:lang w:val="el-GR"/>
        </w:rPr>
        <w:t>ντιπροέδρου της Κομισιόν, Βάλντις Ντομπρόβσκις, σε ερώτηση 62 ευρωβουλευτών για την</w:t>
      </w:r>
      <w:r w:rsidR="008A3A90">
        <w:rPr>
          <w:b/>
          <w:bCs/>
          <w:sz w:val="28"/>
          <w:szCs w:val="28"/>
          <w:lang w:val="el-GR"/>
        </w:rPr>
        <w:t xml:space="preserve"> αν</w:t>
      </w:r>
      <w:r w:rsidR="00D70218">
        <w:rPr>
          <w:b/>
          <w:bCs/>
          <w:sz w:val="28"/>
          <w:szCs w:val="28"/>
          <w:lang w:val="el-GR"/>
        </w:rPr>
        <w:t>ά</w:t>
      </w:r>
      <w:r w:rsidR="008A3A90">
        <w:rPr>
          <w:b/>
          <w:bCs/>
          <w:sz w:val="28"/>
          <w:szCs w:val="28"/>
          <w:lang w:val="el-GR"/>
        </w:rPr>
        <w:t>θ</w:t>
      </w:r>
      <w:r w:rsidR="00D70218">
        <w:rPr>
          <w:b/>
          <w:bCs/>
          <w:sz w:val="28"/>
          <w:szCs w:val="28"/>
          <w:lang w:val="el-GR"/>
        </w:rPr>
        <w:t>ε</w:t>
      </w:r>
      <w:r w:rsidR="008A3A90">
        <w:rPr>
          <w:b/>
          <w:bCs/>
          <w:sz w:val="28"/>
          <w:szCs w:val="28"/>
          <w:lang w:val="el-GR"/>
        </w:rPr>
        <w:t>σ</w:t>
      </w:r>
      <w:r w:rsidR="00D70218">
        <w:rPr>
          <w:b/>
          <w:bCs/>
          <w:sz w:val="28"/>
          <w:szCs w:val="28"/>
          <w:lang w:val="el-GR"/>
        </w:rPr>
        <w:t>η</w:t>
      </w:r>
      <w:r w:rsidRPr="00786083">
        <w:rPr>
          <w:b/>
          <w:bCs/>
          <w:sz w:val="28"/>
          <w:szCs w:val="28"/>
          <w:lang w:val="el-GR"/>
        </w:rPr>
        <w:t>στην αμερικανική εταιρ</w:t>
      </w:r>
      <w:r w:rsidR="00786083" w:rsidRPr="00786083">
        <w:rPr>
          <w:b/>
          <w:bCs/>
          <w:sz w:val="28"/>
          <w:szCs w:val="28"/>
          <w:lang w:val="el-GR"/>
        </w:rPr>
        <w:t xml:space="preserve">ία </w:t>
      </w:r>
      <w:r w:rsidR="00786083" w:rsidRPr="00786083">
        <w:rPr>
          <w:b/>
          <w:bCs/>
          <w:sz w:val="28"/>
          <w:szCs w:val="28"/>
        </w:rPr>
        <w:t>BlackRock</w:t>
      </w:r>
      <w:r w:rsidR="008A3A90">
        <w:rPr>
          <w:b/>
          <w:bCs/>
          <w:sz w:val="28"/>
          <w:szCs w:val="28"/>
          <w:lang w:val="el-GR"/>
        </w:rPr>
        <w:t>σύμβαση</w:t>
      </w:r>
      <w:r w:rsidR="00491639">
        <w:rPr>
          <w:b/>
          <w:bCs/>
          <w:sz w:val="28"/>
          <w:szCs w:val="28"/>
          <w:lang w:val="el-GR"/>
        </w:rPr>
        <w:t>ς</w:t>
      </w:r>
      <w:r w:rsidR="00D70218">
        <w:rPr>
          <w:b/>
          <w:bCs/>
          <w:sz w:val="28"/>
          <w:szCs w:val="28"/>
          <w:lang w:val="el-GR"/>
        </w:rPr>
        <w:t>έργουμε σκοπό</w:t>
      </w:r>
      <w:r w:rsidR="00786083" w:rsidRPr="00786083">
        <w:rPr>
          <w:b/>
          <w:bCs/>
          <w:sz w:val="28"/>
          <w:szCs w:val="28"/>
          <w:lang w:val="el-GR"/>
        </w:rPr>
        <w:t>τη διερεύνηση νέων περιβαλλοντικών και κοινωνικών κανόνων στη λειτουργία των ευρωπαϊκών τραπεζών</w:t>
      </w:r>
      <w:r w:rsidR="008A3A90">
        <w:rPr>
          <w:b/>
          <w:bCs/>
          <w:sz w:val="28"/>
          <w:szCs w:val="28"/>
          <w:lang w:val="el-GR"/>
        </w:rPr>
        <w:t>.</w:t>
      </w:r>
    </w:p>
    <w:p w:rsidR="006E2A5E" w:rsidRPr="008070B8" w:rsidRDefault="006E2A5E" w:rsidP="009543A7">
      <w:pPr>
        <w:spacing w:line="360" w:lineRule="auto"/>
        <w:jc w:val="both"/>
        <w:rPr>
          <w:sz w:val="12"/>
          <w:szCs w:val="12"/>
          <w:lang w:val="el-GR"/>
        </w:rPr>
      </w:pPr>
    </w:p>
    <w:p w:rsidR="006E2A5E" w:rsidRPr="00786083" w:rsidRDefault="00741F30" w:rsidP="00786083">
      <w:pPr>
        <w:pStyle w:val="a3"/>
        <w:numPr>
          <w:ilvl w:val="0"/>
          <w:numId w:val="1"/>
        </w:numPr>
        <w:spacing w:line="360" w:lineRule="auto"/>
        <w:jc w:val="both"/>
        <w:rPr>
          <w:b/>
          <w:bCs/>
          <w:sz w:val="28"/>
          <w:szCs w:val="28"/>
          <w:lang w:val="el-GR"/>
        </w:rPr>
      </w:pPr>
      <w:r>
        <w:rPr>
          <w:b/>
          <w:bCs/>
          <w:sz w:val="28"/>
          <w:szCs w:val="28"/>
          <w:lang w:val="el-GR"/>
        </w:rPr>
        <w:t xml:space="preserve">Η ανάθεση μελέτης </w:t>
      </w:r>
      <w:r w:rsidRPr="00786083">
        <w:rPr>
          <w:b/>
          <w:bCs/>
          <w:sz w:val="28"/>
          <w:szCs w:val="28"/>
          <w:lang w:val="el-GR"/>
        </w:rPr>
        <w:t xml:space="preserve">στην </w:t>
      </w:r>
      <w:r w:rsidRPr="00786083">
        <w:rPr>
          <w:b/>
          <w:bCs/>
          <w:sz w:val="28"/>
          <w:szCs w:val="28"/>
        </w:rPr>
        <w:t>BlackRock</w:t>
      </w:r>
      <w:r w:rsidRPr="00786083">
        <w:rPr>
          <w:b/>
          <w:bCs/>
          <w:sz w:val="28"/>
          <w:szCs w:val="28"/>
          <w:lang w:val="el-GR"/>
        </w:rPr>
        <w:t xml:space="preserve"> έγινε με κριτήριο την ‘’καλύτερη σχέση τιμής-ποιότητας’’</w:t>
      </w:r>
      <w:r>
        <w:rPr>
          <w:b/>
          <w:bCs/>
          <w:sz w:val="28"/>
          <w:szCs w:val="28"/>
          <w:lang w:val="el-GR"/>
        </w:rPr>
        <w:t xml:space="preserve"> υποστηρίζει η Κομισιόν</w:t>
      </w:r>
      <w:r w:rsidR="0068742C">
        <w:rPr>
          <w:b/>
          <w:bCs/>
          <w:sz w:val="28"/>
          <w:szCs w:val="28"/>
          <w:lang w:val="el-GR"/>
        </w:rPr>
        <w:t xml:space="preserve"> - </w:t>
      </w:r>
      <w:r w:rsidR="005B468E">
        <w:rPr>
          <w:b/>
          <w:bCs/>
          <w:sz w:val="28"/>
          <w:szCs w:val="28"/>
          <w:lang w:val="el-GR"/>
        </w:rPr>
        <w:t>Κ</w:t>
      </w:r>
      <w:r w:rsidR="0068742C">
        <w:rPr>
          <w:b/>
          <w:bCs/>
          <w:sz w:val="28"/>
          <w:szCs w:val="28"/>
          <w:lang w:val="el-GR"/>
        </w:rPr>
        <w:t xml:space="preserve">αμία </w:t>
      </w:r>
      <w:r w:rsidR="0068742C" w:rsidRPr="00786083">
        <w:rPr>
          <w:b/>
          <w:bCs/>
          <w:sz w:val="28"/>
          <w:szCs w:val="28"/>
          <w:lang w:val="el-GR"/>
        </w:rPr>
        <w:t>σύγκρουση συμφερόντων</w:t>
      </w:r>
      <w:r w:rsidR="005B468E">
        <w:rPr>
          <w:b/>
          <w:bCs/>
          <w:sz w:val="28"/>
          <w:szCs w:val="28"/>
          <w:lang w:val="el-GR"/>
        </w:rPr>
        <w:t>για</w:t>
      </w:r>
      <w:r w:rsidR="0068742C">
        <w:rPr>
          <w:b/>
          <w:bCs/>
          <w:sz w:val="28"/>
          <w:szCs w:val="28"/>
          <w:lang w:val="el-GR"/>
        </w:rPr>
        <w:t xml:space="preserve"> μια μη ευρωπαϊκή εταιρία </w:t>
      </w:r>
      <w:r w:rsidR="005B468E">
        <w:rPr>
          <w:b/>
          <w:bCs/>
          <w:sz w:val="28"/>
          <w:szCs w:val="28"/>
          <w:lang w:val="el-GR"/>
        </w:rPr>
        <w:t xml:space="preserve">που </w:t>
      </w:r>
      <w:r w:rsidR="0068742C">
        <w:rPr>
          <w:b/>
          <w:bCs/>
          <w:sz w:val="28"/>
          <w:szCs w:val="28"/>
          <w:lang w:val="el-GR"/>
        </w:rPr>
        <w:t>είναι ταυτόχρονα επενδυτής, ελεγκτικό και συμβουλευτικό όργανο</w:t>
      </w:r>
      <w:r w:rsidR="000233E5">
        <w:rPr>
          <w:b/>
          <w:bCs/>
          <w:sz w:val="28"/>
          <w:szCs w:val="28"/>
          <w:lang w:val="el-GR"/>
        </w:rPr>
        <w:t>.</w:t>
      </w:r>
    </w:p>
    <w:p w:rsidR="006E2A5E" w:rsidRPr="008070B8" w:rsidRDefault="006E2A5E" w:rsidP="009543A7">
      <w:pPr>
        <w:spacing w:line="360" w:lineRule="auto"/>
        <w:jc w:val="both"/>
        <w:rPr>
          <w:sz w:val="12"/>
          <w:szCs w:val="12"/>
          <w:lang w:val="el-GR"/>
        </w:rPr>
      </w:pPr>
    </w:p>
    <w:p w:rsidR="00982569" w:rsidRDefault="006E2A5E" w:rsidP="008A3A90">
      <w:pPr>
        <w:pStyle w:val="a3"/>
        <w:numPr>
          <w:ilvl w:val="0"/>
          <w:numId w:val="1"/>
        </w:numPr>
        <w:spacing w:line="360" w:lineRule="auto"/>
        <w:jc w:val="both"/>
        <w:rPr>
          <w:b/>
          <w:bCs/>
          <w:sz w:val="28"/>
          <w:szCs w:val="28"/>
          <w:lang w:val="el-GR"/>
        </w:rPr>
      </w:pPr>
      <w:r w:rsidRPr="008A3A90">
        <w:rPr>
          <w:b/>
          <w:bCs/>
          <w:sz w:val="28"/>
          <w:szCs w:val="28"/>
          <w:lang w:val="el-GR"/>
        </w:rPr>
        <w:t xml:space="preserve">Δημ. Παπαδημούλης: </w:t>
      </w:r>
      <w:r w:rsidR="009576D7">
        <w:rPr>
          <w:b/>
          <w:bCs/>
          <w:sz w:val="28"/>
          <w:szCs w:val="28"/>
          <w:lang w:val="el-GR"/>
        </w:rPr>
        <w:t>«</w:t>
      </w:r>
      <w:r w:rsidR="00CE2E3A">
        <w:rPr>
          <w:b/>
          <w:bCs/>
          <w:sz w:val="28"/>
          <w:szCs w:val="28"/>
          <w:lang w:val="el-GR"/>
        </w:rPr>
        <w:t>’</w:t>
      </w:r>
      <w:r w:rsidR="00491639">
        <w:rPr>
          <w:b/>
          <w:bCs/>
          <w:sz w:val="28"/>
          <w:szCs w:val="28"/>
          <w:lang w:val="el-GR"/>
        </w:rPr>
        <w:t>Καλυπτόμενη</w:t>
      </w:r>
      <w:r w:rsidR="00CE2E3A">
        <w:rPr>
          <w:b/>
          <w:bCs/>
          <w:sz w:val="28"/>
          <w:szCs w:val="28"/>
          <w:lang w:val="el-GR"/>
        </w:rPr>
        <w:t>’</w:t>
      </w:r>
      <w:r w:rsidR="00491639">
        <w:rPr>
          <w:b/>
          <w:bCs/>
          <w:sz w:val="28"/>
          <w:szCs w:val="28"/>
          <w:lang w:val="el-GR"/>
        </w:rPr>
        <w:t xml:space="preserve"> πίσω απ’ όσα προβλέπουν οι διαδικασίες</w:t>
      </w:r>
      <w:r w:rsidR="008A3A90">
        <w:rPr>
          <w:b/>
          <w:bCs/>
          <w:sz w:val="28"/>
          <w:szCs w:val="28"/>
          <w:lang w:val="el-GR"/>
        </w:rPr>
        <w:t xml:space="preserve"> η Κομισιόν </w:t>
      </w:r>
      <w:r w:rsidR="001E0E46">
        <w:rPr>
          <w:b/>
          <w:bCs/>
          <w:sz w:val="28"/>
          <w:szCs w:val="28"/>
          <w:lang w:val="el-GR"/>
        </w:rPr>
        <w:t xml:space="preserve">δείχνει να </w:t>
      </w:r>
      <w:r w:rsidR="008A3A90">
        <w:rPr>
          <w:b/>
          <w:bCs/>
          <w:sz w:val="28"/>
          <w:szCs w:val="28"/>
          <w:lang w:val="el-GR"/>
        </w:rPr>
        <w:t>αγνοεί το προφανές:</w:t>
      </w:r>
      <w:r w:rsidR="009576D7">
        <w:rPr>
          <w:b/>
          <w:bCs/>
          <w:sz w:val="28"/>
          <w:szCs w:val="28"/>
          <w:lang w:val="el-GR"/>
        </w:rPr>
        <w:t xml:space="preserve">Το </w:t>
      </w:r>
      <w:r w:rsidR="004C65A6">
        <w:rPr>
          <w:b/>
          <w:bCs/>
          <w:sz w:val="28"/>
          <w:szCs w:val="28"/>
          <w:lang w:val="el-GR"/>
        </w:rPr>
        <w:t>εξόφθαλμο</w:t>
      </w:r>
      <w:r w:rsidR="009576D7">
        <w:rPr>
          <w:b/>
          <w:bCs/>
          <w:sz w:val="28"/>
          <w:szCs w:val="28"/>
          <w:lang w:val="el-GR"/>
        </w:rPr>
        <w:t xml:space="preserve"> ενδιαφέρον της </w:t>
      </w:r>
      <w:r w:rsidR="009576D7">
        <w:rPr>
          <w:b/>
          <w:bCs/>
          <w:sz w:val="28"/>
          <w:szCs w:val="28"/>
        </w:rPr>
        <w:t>BlackRock</w:t>
      </w:r>
      <w:r w:rsidR="00982569">
        <w:rPr>
          <w:b/>
          <w:bCs/>
          <w:sz w:val="28"/>
          <w:szCs w:val="28"/>
          <w:lang w:val="el-GR"/>
        </w:rPr>
        <w:t xml:space="preserve">να συμβάλλει </w:t>
      </w:r>
      <w:r w:rsidR="009576D7">
        <w:rPr>
          <w:b/>
          <w:bCs/>
          <w:sz w:val="28"/>
          <w:szCs w:val="28"/>
          <w:lang w:val="el-GR"/>
        </w:rPr>
        <w:t xml:space="preserve">στον καθορισμό των κριτηρίων </w:t>
      </w:r>
      <w:r w:rsidR="00721CDD">
        <w:rPr>
          <w:b/>
          <w:bCs/>
          <w:sz w:val="28"/>
          <w:szCs w:val="28"/>
          <w:lang w:val="el-GR"/>
        </w:rPr>
        <w:t>σεκεντρικές τομεακές πολιτικές της ΕΕ</w:t>
      </w:r>
      <w:r w:rsidR="00982569">
        <w:rPr>
          <w:b/>
          <w:bCs/>
          <w:sz w:val="28"/>
          <w:szCs w:val="28"/>
          <w:lang w:val="el-GR"/>
        </w:rPr>
        <w:t>».</w:t>
      </w:r>
    </w:p>
    <w:p w:rsidR="00982569" w:rsidRPr="008070B8" w:rsidRDefault="00982569" w:rsidP="00982569">
      <w:pPr>
        <w:pStyle w:val="a3"/>
        <w:rPr>
          <w:b/>
          <w:bCs/>
          <w:sz w:val="12"/>
          <w:szCs w:val="12"/>
          <w:lang w:val="el-GR"/>
        </w:rPr>
      </w:pPr>
    </w:p>
    <w:p w:rsidR="006E2A5E" w:rsidRPr="008A3A90" w:rsidRDefault="00982569" w:rsidP="008A3A90">
      <w:pPr>
        <w:pStyle w:val="a3"/>
        <w:numPr>
          <w:ilvl w:val="0"/>
          <w:numId w:val="1"/>
        </w:numPr>
        <w:spacing w:line="360" w:lineRule="auto"/>
        <w:jc w:val="both"/>
        <w:rPr>
          <w:b/>
          <w:bCs/>
          <w:sz w:val="28"/>
          <w:szCs w:val="28"/>
          <w:lang w:val="el-GR"/>
        </w:rPr>
      </w:pPr>
      <w:r>
        <w:rPr>
          <w:b/>
          <w:bCs/>
          <w:sz w:val="28"/>
          <w:szCs w:val="28"/>
          <w:lang w:val="el-GR"/>
        </w:rPr>
        <w:t xml:space="preserve">«Απαιτείται </w:t>
      </w:r>
      <w:r w:rsidR="008070B8">
        <w:rPr>
          <w:b/>
          <w:bCs/>
          <w:sz w:val="28"/>
          <w:szCs w:val="28"/>
          <w:lang w:val="el-GR"/>
        </w:rPr>
        <w:t xml:space="preserve">συντονισμένη, </w:t>
      </w:r>
      <w:r>
        <w:rPr>
          <w:b/>
          <w:bCs/>
          <w:sz w:val="28"/>
          <w:szCs w:val="28"/>
          <w:lang w:val="el-GR"/>
        </w:rPr>
        <w:t xml:space="preserve">συλλογική δράση και </w:t>
      </w:r>
      <w:r w:rsidR="008070B8">
        <w:rPr>
          <w:b/>
          <w:bCs/>
          <w:sz w:val="28"/>
          <w:szCs w:val="28"/>
          <w:lang w:val="el-GR"/>
        </w:rPr>
        <w:t xml:space="preserve">περαιτέρω </w:t>
      </w:r>
      <w:r>
        <w:rPr>
          <w:b/>
          <w:bCs/>
          <w:sz w:val="28"/>
          <w:szCs w:val="28"/>
          <w:lang w:val="el-GR"/>
        </w:rPr>
        <w:t>πίεση προς την Κομισιόν για</w:t>
      </w:r>
      <w:r w:rsidR="00D70218">
        <w:rPr>
          <w:b/>
          <w:bCs/>
          <w:sz w:val="28"/>
          <w:szCs w:val="28"/>
          <w:lang w:val="el-GR"/>
        </w:rPr>
        <w:t xml:space="preserve"> τη</w:t>
      </w:r>
      <w:r>
        <w:rPr>
          <w:b/>
          <w:bCs/>
          <w:sz w:val="28"/>
          <w:szCs w:val="28"/>
          <w:lang w:val="el-GR"/>
        </w:rPr>
        <w:t xml:space="preserve"> β</w:t>
      </w:r>
      <w:r w:rsidR="008070B8">
        <w:rPr>
          <w:b/>
          <w:bCs/>
          <w:sz w:val="28"/>
          <w:szCs w:val="28"/>
          <w:lang w:val="el-GR"/>
        </w:rPr>
        <w:t>ελτίωση</w:t>
      </w:r>
      <w:r>
        <w:rPr>
          <w:b/>
          <w:bCs/>
          <w:sz w:val="28"/>
          <w:szCs w:val="28"/>
          <w:lang w:val="el-GR"/>
        </w:rPr>
        <w:t xml:space="preserve"> των κριτηρίων </w:t>
      </w:r>
      <w:r w:rsidR="008070B8">
        <w:rPr>
          <w:b/>
          <w:bCs/>
          <w:sz w:val="28"/>
          <w:szCs w:val="28"/>
          <w:lang w:val="el-GR"/>
        </w:rPr>
        <w:t>σε σχέση με</w:t>
      </w:r>
      <w:r w:rsidR="00D70218">
        <w:rPr>
          <w:b/>
          <w:bCs/>
          <w:sz w:val="28"/>
          <w:szCs w:val="28"/>
          <w:lang w:val="el-GR"/>
        </w:rPr>
        <w:t xml:space="preserve">πιθανές </w:t>
      </w:r>
      <w:r>
        <w:rPr>
          <w:b/>
          <w:bCs/>
          <w:sz w:val="28"/>
          <w:szCs w:val="28"/>
          <w:lang w:val="el-GR"/>
        </w:rPr>
        <w:t>π</w:t>
      </w:r>
      <w:r w:rsidR="00D70218">
        <w:rPr>
          <w:b/>
          <w:bCs/>
          <w:sz w:val="28"/>
          <w:szCs w:val="28"/>
          <w:lang w:val="el-GR"/>
        </w:rPr>
        <w:t>εριπτώσεις</w:t>
      </w:r>
      <w:r>
        <w:rPr>
          <w:b/>
          <w:bCs/>
          <w:sz w:val="28"/>
          <w:szCs w:val="28"/>
          <w:lang w:val="el-GR"/>
        </w:rPr>
        <w:t xml:space="preserve"> σ</w:t>
      </w:r>
      <w:r w:rsidR="00D70218">
        <w:rPr>
          <w:b/>
          <w:bCs/>
          <w:sz w:val="28"/>
          <w:szCs w:val="28"/>
          <w:lang w:val="el-GR"/>
        </w:rPr>
        <w:t>ύ</w:t>
      </w:r>
      <w:r>
        <w:rPr>
          <w:b/>
          <w:bCs/>
          <w:sz w:val="28"/>
          <w:szCs w:val="28"/>
          <w:lang w:val="el-GR"/>
        </w:rPr>
        <w:t>γκρο</w:t>
      </w:r>
      <w:r w:rsidR="00D70218">
        <w:rPr>
          <w:b/>
          <w:bCs/>
          <w:sz w:val="28"/>
          <w:szCs w:val="28"/>
          <w:lang w:val="el-GR"/>
        </w:rPr>
        <w:t>υ</w:t>
      </w:r>
      <w:r>
        <w:rPr>
          <w:b/>
          <w:bCs/>
          <w:sz w:val="28"/>
          <w:szCs w:val="28"/>
          <w:lang w:val="el-GR"/>
        </w:rPr>
        <w:t>σ</w:t>
      </w:r>
      <w:r w:rsidR="00D70218">
        <w:rPr>
          <w:b/>
          <w:bCs/>
          <w:sz w:val="28"/>
          <w:szCs w:val="28"/>
          <w:lang w:val="el-GR"/>
        </w:rPr>
        <w:t>η</w:t>
      </w:r>
      <w:r>
        <w:rPr>
          <w:b/>
          <w:bCs/>
          <w:sz w:val="28"/>
          <w:szCs w:val="28"/>
          <w:lang w:val="el-GR"/>
        </w:rPr>
        <w:t>ς συμφερόντων και για μεταρρυθμίσεις</w:t>
      </w:r>
      <w:r w:rsidR="00D70218">
        <w:rPr>
          <w:b/>
          <w:bCs/>
          <w:sz w:val="28"/>
          <w:szCs w:val="28"/>
          <w:lang w:val="el-GR"/>
        </w:rPr>
        <w:t>σ</w:t>
      </w:r>
      <w:r>
        <w:rPr>
          <w:b/>
          <w:bCs/>
          <w:sz w:val="28"/>
          <w:szCs w:val="28"/>
          <w:lang w:val="el-GR"/>
        </w:rPr>
        <w:t>τις κατευθυντήριες γραμμές</w:t>
      </w:r>
      <w:r w:rsidR="008070B8">
        <w:rPr>
          <w:b/>
          <w:bCs/>
          <w:sz w:val="28"/>
          <w:szCs w:val="28"/>
          <w:lang w:val="el-GR"/>
        </w:rPr>
        <w:t xml:space="preserve"> των αναθέσεων </w:t>
      </w:r>
      <w:r w:rsidR="0062720D">
        <w:rPr>
          <w:b/>
          <w:bCs/>
          <w:sz w:val="28"/>
          <w:szCs w:val="28"/>
          <w:lang w:val="el-GR"/>
        </w:rPr>
        <w:t xml:space="preserve">στις </w:t>
      </w:r>
      <w:r w:rsidR="008070B8">
        <w:rPr>
          <w:b/>
          <w:bCs/>
          <w:sz w:val="28"/>
          <w:szCs w:val="28"/>
          <w:lang w:val="el-GR"/>
        </w:rPr>
        <w:t>συμβάσε</w:t>
      </w:r>
      <w:r w:rsidR="0062720D">
        <w:rPr>
          <w:b/>
          <w:bCs/>
          <w:sz w:val="28"/>
          <w:szCs w:val="28"/>
          <w:lang w:val="el-GR"/>
        </w:rPr>
        <w:t>ις</w:t>
      </w:r>
      <w:r w:rsidR="008070B8">
        <w:rPr>
          <w:b/>
          <w:bCs/>
          <w:sz w:val="28"/>
          <w:szCs w:val="28"/>
          <w:lang w:val="el-GR"/>
        </w:rPr>
        <w:t xml:space="preserve"> έργ</w:t>
      </w:r>
      <w:r w:rsidR="0062720D">
        <w:rPr>
          <w:b/>
          <w:bCs/>
          <w:sz w:val="28"/>
          <w:szCs w:val="28"/>
          <w:lang w:val="el-GR"/>
        </w:rPr>
        <w:t>ων</w:t>
      </w:r>
      <w:r w:rsidR="008070B8">
        <w:rPr>
          <w:b/>
          <w:bCs/>
          <w:sz w:val="28"/>
          <w:szCs w:val="28"/>
          <w:lang w:val="el-GR"/>
        </w:rPr>
        <w:t>».</w:t>
      </w:r>
    </w:p>
    <w:p w:rsidR="006E2A5E" w:rsidRPr="00491639" w:rsidRDefault="006E2A5E" w:rsidP="009543A7">
      <w:pPr>
        <w:spacing w:line="360" w:lineRule="auto"/>
        <w:jc w:val="both"/>
        <w:rPr>
          <w:sz w:val="28"/>
          <w:szCs w:val="28"/>
          <w:lang w:val="el-GR"/>
        </w:rPr>
      </w:pPr>
    </w:p>
    <w:p w:rsidR="00786083" w:rsidRPr="00474C42" w:rsidRDefault="00491639" w:rsidP="009543A7">
      <w:pPr>
        <w:spacing w:line="360" w:lineRule="auto"/>
        <w:jc w:val="both"/>
        <w:rPr>
          <w:lang w:val="el-GR"/>
        </w:rPr>
      </w:pPr>
      <w:r w:rsidRPr="00721CDD">
        <w:rPr>
          <w:b/>
          <w:bCs/>
          <w:lang w:val="el-GR"/>
        </w:rPr>
        <w:t xml:space="preserve">Η ανάθεση στην αμερικανική εταιρία </w:t>
      </w:r>
      <w:r w:rsidRPr="00721CDD">
        <w:rPr>
          <w:b/>
          <w:bCs/>
        </w:rPr>
        <w:t>BlackRock</w:t>
      </w:r>
      <w:r w:rsidRPr="00721CDD">
        <w:rPr>
          <w:b/>
          <w:bCs/>
          <w:lang w:val="el-GR"/>
        </w:rPr>
        <w:t xml:space="preserve"> μελέτης με σκοπό τη διερεύνηση νέων περιβαλλοντικών και κοινωνικών κανόνων στη λειτουργία των ευρωπαϊκών τραπεζών </w:t>
      </w:r>
      <w:r w:rsidRPr="00721CDD">
        <w:rPr>
          <w:b/>
          <w:bCs/>
          <w:lang w:val="el-GR"/>
        </w:rPr>
        <w:lastRenderedPageBreak/>
        <w:t>έγινε με κριτήριο την ‘’καλύτερη σχέση τιμής-ποιότητας’’</w:t>
      </w:r>
      <w:r>
        <w:rPr>
          <w:lang w:val="el-GR"/>
        </w:rPr>
        <w:t xml:space="preserve"> υποστηρίζει η Κομισιόν</w:t>
      </w:r>
      <w:r w:rsidR="00474C42">
        <w:rPr>
          <w:lang w:val="el-GR"/>
        </w:rPr>
        <w:t xml:space="preserve"> σε</w:t>
      </w:r>
      <w:r>
        <w:rPr>
          <w:lang w:val="el-GR"/>
        </w:rPr>
        <w:t xml:space="preserve"> απάντησηπου έδωσε δια του Εκτελεστικού της Αντιπροέδρου, </w:t>
      </w:r>
      <w:r w:rsidRPr="00721CDD">
        <w:rPr>
          <w:b/>
          <w:bCs/>
          <w:lang w:val="el-GR"/>
        </w:rPr>
        <w:t>Βάλντις Ντομπρόβσκις</w:t>
      </w:r>
      <w:r>
        <w:rPr>
          <w:lang w:val="el-GR"/>
        </w:rPr>
        <w:t>, σ</w:t>
      </w:r>
      <w:r w:rsidR="00474C42">
        <w:rPr>
          <w:lang w:val="el-GR"/>
        </w:rPr>
        <w:t>την</w:t>
      </w:r>
      <w:r w:rsidRPr="00721CDD">
        <w:rPr>
          <w:b/>
          <w:bCs/>
          <w:lang w:val="el-GR"/>
        </w:rPr>
        <w:t>ερώτηση 62 ευρωβουλευτών</w:t>
      </w:r>
      <w:r w:rsidR="00474C42" w:rsidRPr="00721CDD">
        <w:rPr>
          <w:b/>
          <w:bCs/>
          <w:lang w:val="el-GR"/>
        </w:rPr>
        <w:t xml:space="preserve"> από 5 Πολιτικές Ομάδες</w:t>
      </w:r>
      <w:r w:rsidR="00474C42">
        <w:rPr>
          <w:lang w:val="el-GR"/>
        </w:rPr>
        <w:t xml:space="preserve"> – Ευρωπαϊκή Αριστερά, Σοσιαλιστές, Πράσινοι, </w:t>
      </w:r>
      <w:r w:rsidR="00474C42">
        <w:t>Renew</w:t>
      </w:r>
      <w:r w:rsidR="00474C42">
        <w:rPr>
          <w:lang w:val="el-GR"/>
        </w:rPr>
        <w:t xml:space="preserve">, Ευρωπαίοι Συντηρητικοί και Μεταρρυθμιστές. </w:t>
      </w:r>
    </w:p>
    <w:p w:rsidR="00786083" w:rsidRPr="00474C42" w:rsidRDefault="00786083" w:rsidP="009543A7">
      <w:pPr>
        <w:spacing w:line="360" w:lineRule="auto"/>
        <w:jc w:val="both"/>
        <w:rPr>
          <w:sz w:val="16"/>
          <w:szCs w:val="16"/>
          <w:lang w:val="el-GR"/>
        </w:rPr>
      </w:pPr>
    </w:p>
    <w:p w:rsidR="0013159E" w:rsidRDefault="0013159E" w:rsidP="009543A7">
      <w:pPr>
        <w:spacing w:line="360" w:lineRule="auto"/>
        <w:jc w:val="both"/>
        <w:rPr>
          <w:lang w:val="el-GR"/>
        </w:rPr>
      </w:pPr>
      <w:r w:rsidRPr="00721CDD">
        <w:rPr>
          <w:b/>
          <w:bCs/>
          <w:lang w:val="el-GR"/>
        </w:rPr>
        <w:t xml:space="preserve">Εντύπωση προκαλεί επίσης η </w:t>
      </w:r>
      <w:r w:rsidR="00721CDD" w:rsidRPr="00721CDD">
        <w:rPr>
          <w:b/>
          <w:bCs/>
          <w:lang w:val="el-GR"/>
        </w:rPr>
        <w:t>παραδοχή</w:t>
      </w:r>
      <w:r w:rsidRPr="00721CDD">
        <w:rPr>
          <w:b/>
          <w:bCs/>
          <w:lang w:val="el-GR"/>
        </w:rPr>
        <w:t xml:space="preserve"> της Κομισιόν </w:t>
      </w:r>
      <w:r w:rsidR="00721CDD" w:rsidRPr="00721CDD">
        <w:rPr>
          <w:b/>
          <w:bCs/>
          <w:lang w:val="el-GR"/>
        </w:rPr>
        <w:t>πως</w:t>
      </w:r>
      <w:r w:rsidRPr="00721CDD">
        <w:rPr>
          <w:b/>
          <w:bCs/>
          <w:lang w:val="el-GR"/>
        </w:rPr>
        <w:t xml:space="preserve"> έπειτα από σχολαστικό έλεγχο δεν εντόπισε κάποια σύγκρουση συμφερόντων</w:t>
      </w:r>
      <w:r>
        <w:rPr>
          <w:lang w:val="el-GR"/>
        </w:rPr>
        <w:t xml:space="preserve">. Συγκεκριμένα αναφέρει πως «λαμβάνοντας υπόψη τα ειδικά καθήκοντα που πρέπει να εκτελεστούν στο πλαίσιο της εν λόγω μελέτης, </w:t>
      </w:r>
      <w:r w:rsidRPr="00721CDD">
        <w:rPr>
          <w:b/>
          <w:bCs/>
          <w:lang w:val="el-GR"/>
        </w:rPr>
        <w:t>η επιτροπή αξιολόγησης δεν εντόπισε συγκρουόμενα επαγγελματικά συμφέροντα μεταξύ των καθηκόντων της ανάδοχης εταιρίας και των τρεχουσών επενδυτικών πρακτικών της</w:t>
      </w:r>
      <w:r>
        <w:rPr>
          <w:lang w:val="el-GR"/>
        </w:rPr>
        <w:t>».</w:t>
      </w:r>
    </w:p>
    <w:p w:rsidR="0013159E" w:rsidRPr="0013159E" w:rsidRDefault="0013159E" w:rsidP="009543A7">
      <w:pPr>
        <w:spacing w:line="360" w:lineRule="auto"/>
        <w:jc w:val="both"/>
        <w:rPr>
          <w:sz w:val="16"/>
          <w:szCs w:val="16"/>
          <w:lang w:val="el-GR"/>
        </w:rPr>
      </w:pPr>
    </w:p>
    <w:p w:rsidR="0013159E" w:rsidRPr="00721CDD" w:rsidRDefault="00721CDD" w:rsidP="0013159E">
      <w:pPr>
        <w:spacing w:line="360" w:lineRule="auto"/>
        <w:jc w:val="both"/>
        <w:rPr>
          <w:color w:val="000000" w:themeColor="text1"/>
          <w:lang w:val="el-GR"/>
        </w:rPr>
      </w:pPr>
      <w:r>
        <w:rPr>
          <w:color w:val="000000" w:themeColor="text1"/>
          <w:lang w:val="el-GR"/>
        </w:rPr>
        <w:t>Αξίζει να σημειωθεί</w:t>
      </w:r>
      <w:r w:rsidR="00741F30">
        <w:rPr>
          <w:color w:val="000000" w:themeColor="text1"/>
          <w:lang w:val="el-GR"/>
        </w:rPr>
        <w:t xml:space="preserve">εδώ </w:t>
      </w:r>
      <w:r w:rsidR="0013159E" w:rsidRPr="00721CDD">
        <w:rPr>
          <w:color w:val="000000" w:themeColor="text1"/>
          <w:lang w:val="el-GR"/>
        </w:rPr>
        <w:t>πως η</w:t>
      </w:r>
      <w:r w:rsidR="0013159E" w:rsidRPr="00721CDD">
        <w:rPr>
          <w:rFonts w:eastAsia="Times New Roman" w:cstheme="minorHAnsi"/>
          <w:color w:val="000000" w:themeColor="text1"/>
          <w:bdr w:val="none" w:sz="0" w:space="0" w:color="auto" w:frame="1"/>
          <w:shd w:val="clear" w:color="auto" w:fill="FFFFFF"/>
          <w:lang w:val="el-GR" w:eastAsia="en-GB"/>
        </w:rPr>
        <w:t xml:space="preserve"> αμερικανική εταιρία</w:t>
      </w:r>
      <w:r w:rsidR="0013159E" w:rsidRPr="00721CDD">
        <w:rPr>
          <w:rFonts w:eastAsia="Times New Roman" w:cstheme="minorHAnsi"/>
          <w:color w:val="000000" w:themeColor="text1"/>
          <w:bdr w:val="none" w:sz="0" w:space="0" w:color="auto" w:frame="1"/>
          <w:shd w:val="clear" w:color="auto" w:fill="FFFFFF"/>
          <w:lang w:eastAsia="en-GB"/>
        </w:rPr>
        <w:t> Black</w:t>
      </w:r>
      <w:r w:rsidR="0013159E" w:rsidRPr="00721CDD">
        <w:rPr>
          <w:rFonts w:eastAsia="Times New Roman" w:cstheme="minorHAnsi"/>
          <w:color w:val="000000" w:themeColor="text1"/>
          <w:shd w:val="clear" w:color="auto" w:fill="FFFFFF"/>
          <w:lang w:eastAsia="en-GB"/>
        </w:rPr>
        <w:t> </w:t>
      </w:r>
      <w:r w:rsidR="0013159E" w:rsidRPr="00721CDD">
        <w:rPr>
          <w:rFonts w:eastAsia="Times New Roman" w:cstheme="minorHAnsi"/>
          <w:color w:val="000000" w:themeColor="text1"/>
          <w:bdr w:val="none" w:sz="0" w:space="0" w:color="auto" w:frame="1"/>
          <w:shd w:val="clear" w:color="auto" w:fill="FFFFFF"/>
          <w:lang w:eastAsia="en-GB"/>
        </w:rPr>
        <w:t>Rock</w:t>
      </w:r>
      <w:r w:rsidR="0013159E" w:rsidRPr="00721CDD">
        <w:rPr>
          <w:rFonts w:eastAsia="Times New Roman" w:cstheme="minorHAnsi"/>
          <w:color w:val="000000" w:themeColor="text1"/>
          <w:bdr w:val="none" w:sz="0" w:space="0" w:color="auto" w:frame="1"/>
          <w:shd w:val="clear" w:color="auto" w:fill="FFFFFF"/>
          <w:lang w:val="el-GR" w:eastAsia="en-GB"/>
        </w:rPr>
        <w:t>, η οποία</w:t>
      </w:r>
      <w:r w:rsidR="0013159E" w:rsidRPr="00721CDD">
        <w:rPr>
          <w:rFonts w:eastAsia="Times New Roman" w:cstheme="minorHAnsi"/>
          <w:color w:val="000000" w:themeColor="text1"/>
          <w:bdr w:val="none" w:sz="0" w:space="0" w:color="auto" w:frame="1"/>
          <w:shd w:val="clear" w:color="auto" w:fill="FFFFFF"/>
          <w:lang w:eastAsia="en-GB"/>
        </w:rPr>
        <w:t> </w:t>
      </w:r>
      <w:r w:rsidR="0013159E" w:rsidRPr="00721CDD">
        <w:rPr>
          <w:rFonts w:eastAsia="Times New Roman" w:cstheme="minorHAnsi"/>
          <w:b/>
          <w:bCs/>
          <w:color w:val="000000" w:themeColor="text1"/>
          <w:bdr w:val="none" w:sz="0" w:space="0" w:color="auto" w:frame="1"/>
          <w:shd w:val="clear" w:color="auto" w:fill="FFFFFF"/>
          <w:lang w:val="el-GR" w:eastAsia="en-GB"/>
        </w:rPr>
        <w:t>αποτελεί έναν από τους μεγαλύτερους διαχειριστές επενδύσεων παγκοσμίως</w:t>
      </w:r>
      <w:r w:rsidR="0013159E" w:rsidRPr="00721CDD">
        <w:rPr>
          <w:rFonts w:eastAsia="Times New Roman" w:cstheme="minorHAnsi"/>
          <w:color w:val="000000" w:themeColor="text1"/>
          <w:bdr w:val="none" w:sz="0" w:space="0" w:color="auto" w:frame="1"/>
          <w:shd w:val="clear" w:color="auto" w:fill="FFFFFF"/>
          <w:lang w:eastAsia="en-GB"/>
        </w:rPr>
        <w:t> </w:t>
      </w:r>
      <w:r w:rsidR="0013159E" w:rsidRPr="00721CDD">
        <w:rPr>
          <w:rFonts w:eastAsia="Times New Roman" w:cstheme="minorHAnsi"/>
          <w:color w:val="000000" w:themeColor="text1"/>
          <w:bdr w:val="none" w:sz="0" w:space="0" w:color="auto" w:frame="1"/>
          <w:shd w:val="clear" w:color="auto" w:fill="FFFFFF"/>
          <w:lang w:val="el-GR" w:eastAsia="en-GB"/>
        </w:rPr>
        <w:t>με</w:t>
      </w:r>
      <w:r w:rsidR="0013159E" w:rsidRPr="00721CDD">
        <w:rPr>
          <w:rFonts w:eastAsia="Times New Roman" w:cstheme="minorHAnsi"/>
          <w:color w:val="000000" w:themeColor="text1"/>
          <w:bdr w:val="none" w:sz="0" w:space="0" w:color="auto" w:frame="1"/>
          <w:shd w:val="clear" w:color="auto" w:fill="FFFFFF"/>
          <w:lang w:eastAsia="en-GB"/>
        </w:rPr>
        <w:t> </w:t>
      </w:r>
      <w:r w:rsidR="0013159E" w:rsidRPr="00721CDD">
        <w:rPr>
          <w:rFonts w:eastAsia="Times New Roman" w:cstheme="minorHAnsi"/>
          <w:b/>
          <w:bCs/>
          <w:color w:val="000000" w:themeColor="text1"/>
          <w:bdr w:val="none" w:sz="0" w:space="0" w:color="auto" w:frame="1"/>
          <w:shd w:val="clear" w:color="auto" w:fill="FFFFFF"/>
          <w:lang w:val="el-GR" w:eastAsia="en-GB"/>
        </w:rPr>
        <w:t>περιουσιακά στοιχεία που ανέρχονται στα 87,3 δισ</w:t>
      </w:r>
      <w:r w:rsidR="0013159E" w:rsidRPr="00721CDD">
        <w:rPr>
          <w:rFonts w:eastAsia="Times New Roman" w:cstheme="minorHAnsi"/>
          <w:color w:val="000000" w:themeColor="text1"/>
          <w:bdr w:val="none" w:sz="0" w:space="0" w:color="auto" w:frame="1"/>
          <w:shd w:val="clear" w:color="auto" w:fill="FFFFFF"/>
          <w:lang w:val="el-GR" w:eastAsia="en-GB"/>
        </w:rPr>
        <w:t>.</w:t>
      </w:r>
      <w:r w:rsidR="0013159E" w:rsidRPr="00721CDD">
        <w:rPr>
          <w:rFonts w:eastAsia="Times New Roman" w:cstheme="minorHAnsi"/>
          <w:color w:val="000000" w:themeColor="text1"/>
          <w:bdr w:val="none" w:sz="0" w:space="0" w:color="auto" w:frame="1"/>
          <w:shd w:val="clear" w:color="auto" w:fill="FFFFFF"/>
          <w:lang w:eastAsia="en-GB"/>
        </w:rPr>
        <w:t> </w:t>
      </w:r>
      <w:r w:rsidR="0013159E" w:rsidRPr="00721CDD">
        <w:rPr>
          <w:rFonts w:eastAsia="Times New Roman" w:cstheme="minorHAnsi"/>
          <w:b/>
          <w:bCs/>
          <w:color w:val="000000" w:themeColor="text1"/>
          <w:bdr w:val="none" w:sz="0" w:space="0" w:color="auto" w:frame="1"/>
          <w:shd w:val="clear" w:color="auto" w:fill="FFFFFF"/>
          <w:lang w:val="el-GR" w:eastAsia="en-GB"/>
        </w:rPr>
        <w:t>δολάρια</w:t>
      </w:r>
      <w:r w:rsidR="0013159E" w:rsidRPr="00721CDD">
        <w:rPr>
          <w:rFonts w:eastAsia="Times New Roman" w:cstheme="minorHAnsi"/>
          <w:color w:val="000000" w:themeColor="text1"/>
          <w:bdr w:val="none" w:sz="0" w:space="0" w:color="auto" w:frame="1"/>
          <w:shd w:val="clear" w:color="auto" w:fill="FFFFFF"/>
          <w:lang w:val="el-GR" w:eastAsia="en-GB"/>
        </w:rPr>
        <w:t>, έχει εκφράσει αρκετές φορές και με σαφήνεια</w:t>
      </w:r>
      <w:r w:rsidR="0013159E" w:rsidRPr="00721CDD">
        <w:rPr>
          <w:rFonts w:eastAsia="Times New Roman" w:cstheme="minorHAnsi"/>
          <w:b/>
          <w:bCs/>
          <w:color w:val="000000" w:themeColor="text1"/>
          <w:bdr w:val="none" w:sz="0" w:space="0" w:color="auto" w:frame="1"/>
          <w:shd w:val="clear" w:color="auto" w:fill="FFFFFF"/>
          <w:lang w:eastAsia="en-GB"/>
        </w:rPr>
        <w:t> </w:t>
      </w:r>
      <w:r w:rsidR="0013159E" w:rsidRPr="00721CDD">
        <w:rPr>
          <w:rFonts w:eastAsia="Times New Roman" w:cstheme="minorHAnsi"/>
          <w:b/>
          <w:bCs/>
          <w:color w:val="000000" w:themeColor="text1"/>
          <w:bdr w:val="none" w:sz="0" w:space="0" w:color="auto" w:frame="1"/>
          <w:shd w:val="clear" w:color="auto" w:fill="FFFFFF"/>
          <w:lang w:val="el-GR" w:eastAsia="en-GB"/>
        </w:rPr>
        <w:t>την αντίθεσή της στην φιλόδοξη περιβαλλοντική ατζέντα της ΕΕ</w:t>
      </w:r>
      <w:r w:rsidR="0013159E" w:rsidRPr="00721CDD">
        <w:rPr>
          <w:rFonts w:eastAsia="Times New Roman" w:cstheme="minorHAnsi"/>
          <w:color w:val="000000" w:themeColor="text1"/>
          <w:bdr w:val="none" w:sz="0" w:space="0" w:color="auto" w:frame="1"/>
          <w:shd w:val="clear" w:color="auto" w:fill="FFFFFF"/>
          <w:lang w:val="el-GR" w:eastAsia="en-GB"/>
        </w:rPr>
        <w:t>, ενώ</w:t>
      </w:r>
      <w:r w:rsidR="0013159E" w:rsidRPr="00721CDD">
        <w:rPr>
          <w:rFonts w:eastAsia="Times New Roman" w:cstheme="minorHAnsi"/>
          <w:color w:val="000000" w:themeColor="text1"/>
          <w:bdr w:val="none" w:sz="0" w:space="0" w:color="auto" w:frame="1"/>
          <w:shd w:val="clear" w:color="auto" w:fill="FFFFFF"/>
          <w:lang w:eastAsia="en-GB"/>
        </w:rPr>
        <w:t> </w:t>
      </w:r>
      <w:r w:rsidR="0013159E" w:rsidRPr="00721CDD">
        <w:rPr>
          <w:rFonts w:eastAsia="Times New Roman" w:cstheme="minorHAnsi"/>
          <w:b/>
          <w:bCs/>
          <w:color w:val="000000" w:themeColor="text1"/>
          <w:bdr w:val="none" w:sz="0" w:space="0" w:color="auto" w:frame="1"/>
          <w:shd w:val="clear" w:color="auto" w:fill="FFFFFF"/>
          <w:lang w:val="el-GR" w:eastAsia="en-GB"/>
        </w:rPr>
        <w:t>κατέχει και μερίδια στις περισσότερες από τις εταιρίες που θα επηρεαστούν από την πολιτική της Κομισιόν για την αειφόρο ανάπτυξη και την πράσινη χρηματοδότηση</w:t>
      </w:r>
      <w:r w:rsidR="0013159E" w:rsidRPr="00721CDD">
        <w:rPr>
          <w:rFonts w:eastAsia="Times New Roman" w:cstheme="minorHAnsi"/>
          <w:color w:val="000000" w:themeColor="text1"/>
          <w:bdr w:val="none" w:sz="0" w:space="0" w:color="auto" w:frame="1"/>
          <w:shd w:val="clear" w:color="auto" w:fill="FFFFFF"/>
          <w:lang w:val="el-GR" w:eastAsia="en-GB"/>
        </w:rPr>
        <w:t>. Επιπλέον,</w:t>
      </w:r>
      <w:r w:rsidR="0013159E" w:rsidRPr="00721CDD">
        <w:rPr>
          <w:rFonts w:eastAsia="Times New Roman" w:cstheme="minorHAnsi"/>
          <w:color w:val="000000" w:themeColor="text1"/>
          <w:bdr w:val="none" w:sz="0" w:space="0" w:color="auto" w:frame="1"/>
          <w:shd w:val="clear" w:color="auto" w:fill="FFFFFF"/>
          <w:lang w:eastAsia="en-GB"/>
        </w:rPr>
        <w:t> </w:t>
      </w:r>
      <w:r w:rsidR="0013159E" w:rsidRPr="00721CDD">
        <w:rPr>
          <w:rFonts w:eastAsia="Times New Roman" w:cstheme="minorHAnsi"/>
          <w:b/>
          <w:bCs/>
          <w:color w:val="000000" w:themeColor="text1"/>
          <w:bdr w:val="none" w:sz="0" w:space="0" w:color="auto" w:frame="1"/>
          <w:shd w:val="clear" w:color="auto" w:fill="FFFFFF"/>
          <w:lang w:val="el-GR" w:eastAsia="en-GB"/>
        </w:rPr>
        <w:t>έχει επιλεγεί από την κυβέρνηση των ΗΠΑ ως συμβουλευτικό της όργανο</w:t>
      </w:r>
      <w:r w:rsidR="0013159E" w:rsidRPr="00721CDD">
        <w:rPr>
          <w:rFonts w:eastAsia="Times New Roman" w:cstheme="minorHAnsi"/>
          <w:color w:val="000000" w:themeColor="text1"/>
          <w:bdr w:val="none" w:sz="0" w:space="0" w:color="auto" w:frame="1"/>
          <w:shd w:val="clear" w:color="auto" w:fill="FFFFFF"/>
          <w:lang w:val="el-GR" w:eastAsia="en-GB"/>
        </w:rPr>
        <w:t>, προκειμένου να</w:t>
      </w:r>
      <w:r w:rsidR="0013159E" w:rsidRPr="00721CDD">
        <w:rPr>
          <w:rFonts w:eastAsia="Times New Roman" w:cstheme="minorHAnsi"/>
          <w:color w:val="000000" w:themeColor="text1"/>
          <w:bdr w:val="none" w:sz="0" w:space="0" w:color="auto" w:frame="1"/>
          <w:shd w:val="clear" w:color="auto" w:fill="FFFFFF"/>
          <w:lang w:eastAsia="en-GB"/>
        </w:rPr>
        <w:t> </w:t>
      </w:r>
      <w:r w:rsidR="0013159E" w:rsidRPr="00721CDD">
        <w:rPr>
          <w:rFonts w:eastAsia="Times New Roman" w:cstheme="minorHAnsi"/>
          <w:b/>
          <w:bCs/>
          <w:color w:val="000000" w:themeColor="text1"/>
          <w:bdr w:val="none" w:sz="0" w:space="0" w:color="auto" w:frame="1"/>
          <w:shd w:val="clear" w:color="auto" w:fill="FFFFFF"/>
          <w:lang w:val="el-GR" w:eastAsia="en-GB"/>
        </w:rPr>
        <w:t>συνεισφέρει στη διαχείριση προγραμμάτων αγοράς ομολόγων</w:t>
      </w:r>
      <w:r w:rsidR="0013159E" w:rsidRPr="00721CDD">
        <w:rPr>
          <w:rFonts w:eastAsia="Times New Roman" w:cstheme="minorHAnsi"/>
          <w:b/>
          <w:bCs/>
          <w:color w:val="000000" w:themeColor="text1"/>
          <w:bdr w:val="none" w:sz="0" w:space="0" w:color="auto" w:frame="1"/>
          <w:shd w:val="clear" w:color="auto" w:fill="FFFFFF"/>
          <w:lang w:eastAsia="en-GB"/>
        </w:rPr>
        <w:t> </w:t>
      </w:r>
      <w:r w:rsidR="0013159E" w:rsidRPr="00721CDD">
        <w:rPr>
          <w:rFonts w:eastAsia="Times New Roman" w:cstheme="minorHAnsi"/>
          <w:color w:val="000000" w:themeColor="text1"/>
          <w:bdr w:val="none" w:sz="0" w:space="0" w:color="auto" w:frame="1"/>
          <w:shd w:val="clear" w:color="auto" w:fill="FFFFFF"/>
          <w:lang w:val="el-GR" w:eastAsia="en-GB"/>
        </w:rPr>
        <w:t>και</w:t>
      </w:r>
      <w:r w:rsidR="0013159E" w:rsidRPr="00721CDD">
        <w:rPr>
          <w:rFonts w:eastAsia="Times New Roman" w:cstheme="minorHAnsi"/>
          <w:color w:val="000000" w:themeColor="text1"/>
          <w:bdr w:val="none" w:sz="0" w:space="0" w:color="auto" w:frame="1"/>
          <w:shd w:val="clear" w:color="auto" w:fill="FFFFFF"/>
          <w:lang w:eastAsia="en-GB"/>
        </w:rPr>
        <w:t> </w:t>
      </w:r>
      <w:r w:rsidR="0013159E" w:rsidRPr="00721CDD">
        <w:rPr>
          <w:rFonts w:eastAsia="Times New Roman" w:cstheme="minorHAnsi"/>
          <w:b/>
          <w:bCs/>
          <w:color w:val="000000" w:themeColor="text1"/>
          <w:bdr w:val="none" w:sz="0" w:space="0" w:color="auto" w:frame="1"/>
          <w:shd w:val="clear" w:color="auto" w:fill="FFFFFF"/>
          <w:lang w:val="el-GR" w:eastAsia="en-GB"/>
        </w:rPr>
        <w:t>χρεωστικών τίτλων</w:t>
      </w:r>
      <w:r w:rsidR="0013159E" w:rsidRPr="00721CDD">
        <w:rPr>
          <w:rFonts w:eastAsia="Times New Roman" w:cstheme="minorHAnsi"/>
          <w:color w:val="000000" w:themeColor="text1"/>
          <w:bdr w:val="none" w:sz="0" w:space="0" w:color="auto" w:frame="1"/>
          <w:shd w:val="clear" w:color="auto" w:fill="FFFFFF"/>
          <w:lang w:eastAsia="en-GB"/>
        </w:rPr>
        <w:t> </w:t>
      </w:r>
      <w:r w:rsidR="0013159E" w:rsidRPr="00721CDD">
        <w:rPr>
          <w:rFonts w:eastAsia="Times New Roman" w:cstheme="minorHAnsi"/>
          <w:color w:val="000000" w:themeColor="text1"/>
          <w:bdr w:val="none" w:sz="0" w:space="0" w:color="auto" w:frame="1"/>
          <w:shd w:val="clear" w:color="auto" w:fill="FFFFFF"/>
          <w:lang w:val="el-GR" w:eastAsia="en-GB"/>
        </w:rPr>
        <w:t>στο τραπεζικό σύστημα των ΗΠΑ.</w:t>
      </w:r>
    </w:p>
    <w:p w:rsidR="0013159E" w:rsidRPr="00721CDD" w:rsidRDefault="0013159E" w:rsidP="0013159E">
      <w:pPr>
        <w:spacing w:line="360" w:lineRule="auto"/>
        <w:jc w:val="both"/>
        <w:rPr>
          <w:rFonts w:cstheme="minorHAnsi"/>
          <w:sz w:val="16"/>
          <w:szCs w:val="16"/>
          <w:lang w:val="el-GR"/>
        </w:rPr>
      </w:pPr>
    </w:p>
    <w:p w:rsidR="00786083" w:rsidRDefault="00474C42" w:rsidP="009543A7">
      <w:pPr>
        <w:spacing w:line="360" w:lineRule="auto"/>
        <w:jc w:val="both"/>
        <w:rPr>
          <w:lang w:val="el-GR"/>
        </w:rPr>
      </w:pPr>
      <w:r>
        <w:rPr>
          <w:lang w:val="el-GR"/>
        </w:rPr>
        <w:t xml:space="preserve">Στην ερώτησή τους οι συνυπογράφοντες ευρωβουλευτές εξέφραζαν τις </w:t>
      </w:r>
      <w:r w:rsidRPr="0068742C">
        <w:rPr>
          <w:b/>
          <w:bCs/>
          <w:lang w:val="el-GR"/>
        </w:rPr>
        <w:t>σοβαρές ανησυχίες</w:t>
      </w:r>
      <w:r>
        <w:rPr>
          <w:lang w:val="el-GR"/>
        </w:rPr>
        <w:t xml:space="preserve"> τους «</w:t>
      </w:r>
      <w:r w:rsidRPr="0068742C">
        <w:rPr>
          <w:b/>
          <w:bCs/>
          <w:lang w:val="el-GR"/>
        </w:rPr>
        <w:t xml:space="preserve">σχετικά με τη βούληση της Κομισιόν να δοθεί προτεραιότητα στην κυριαρχία της ΕΕ ιδιαίτερα σε μία περίοδο κρίσης όπως </w:t>
      </w:r>
      <w:r w:rsidR="003127F7">
        <w:rPr>
          <w:b/>
          <w:bCs/>
          <w:lang w:val="el-GR"/>
        </w:rPr>
        <w:t>αυτή που βιώνουμε σήμερα</w:t>
      </w:r>
      <w:r>
        <w:rPr>
          <w:lang w:val="el-GR"/>
        </w:rPr>
        <w:t>»</w:t>
      </w:r>
      <w:r w:rsidR="00741F30">
        <w:rPr>
          <w:lang w:val="el-GR"/>
        </w:rPr>
        <w:t xml:space="preserve"> και έθεταν</w:t>
      </w:r>
      <w:r w:rsidR="00721CDD">
        <w:rPr>
          <w:lang w:val="el-GR"/>
        </w:rPr>
        <w:t xml:space="preserve"> μία σειρά από </w:t>
      </w:r>
      <w:r w:rsidR="00721CDD" w:rsidRPr="0068742C">
        <w:rPr>
          <w:b/>
          <w:bCs/>
          <w:lang w:val="el-GR"/>
        </w:rPr>
        <w:t>ερωτήματα</w:t>
      </w:r>
      <w:r w:rsidR="00741F30">
        <w:rPr>
          <w:lang w:val="el-GR"/>
        </w:rPr>
        <w:t xml:space="preserve">, όπως για το </w:t>
      </w:r>
      <w:r w:rsidR="00741F30" w:rsidRPr="0068742C">
        <w:rPr>
          <w:b/>
          <w:bCs/>
          <w:lang w:val="el-GR"/>
        </w:rPr>
        <w:t>εάν μία τέτοια απόφαση «δίνει σε έναν αμερικανικό φορέα τη δυνατότητα να επηρεάσει τους νόμους της ΕΕ» ή «θέτει σε κίνδυνο την ορθή εφαρμογή της Ευρωπαϊκής Πράσινης Συμφωνίας στον χρηματοπιστωτικό τομέα</w:t>
      </w:r>
      <w:r w:rsidR="00741F30">
        <w:rPr>
          <w:lang w:val="el-GR"/>
        </w:rPr>
        <w:t xml:space="preserve">». Σε αυτά τα ερωτήματα </w:t>
      </w:r>
      <w:r w:rsidR="00741F30" w:rsidRPr="003127F7">
        <w:rPr>
          <w:b/>
          <w:bCs/>
          <w:lang w:val="el-GR"/>
        </w:rPr>
        <w:t xml:space="preserve">ο Εκτελεστικός Αντιπρόεδρος της Κομισιόν, Βάλντις Ντομπρόβσκις, επιλέγει </w:t>
      </w:r>
      <w:r w:rsidR="00B76D35">
        <w:rPr>
          <w:b/>
          <w:bCs/>
          <w:lang w:val="el-GR"/>
        </w:rPr>
        <w:t xml:space="preserve">στην ουσία </w:t>
      </w:r>
      <w:r w:rsidR="00741F30" w:rsidRPr="003127F7">
        <w:rPr>
          <w:b/>
          <w:bCs/>
          <w:lang w:val="el-GR"/>
        </w:rPr>
        <w:t>να μην απαντήσει</w:t>
      </w:r>
      <w:r w:rsidR="003127F7">
        <w:rPr>
          <w:lang w:val="el-GR"/>
        </w:rPr>
        <w:t xml:space="preserve">και αρκείται </w:t>
      </w:r>
      <w:r w:rsidR="0068742C">
        <w:rPr>
          <w:lang w:val="el-GR"/>
        </w:rPr>
        <w:t xml:space="preserve">να αναφέρει πως η Επιτροπή «είναι έτοιμη να καταγγείλει τη σύμβαση με την ανάδοχο εταιρία σε περίπτωση που αυτή δεν τηρήσει σχολαστικά τις διατάξεις της σύμβασης» και </w:t>
      </w:r>
      <w:r w:rsidR="0068742C">
        <w:rPr>
          <w:lang w:val="el-GR"/>
        </w:rPr>
        <w:lastRenderedPageBreak/>
        <w:t xml:space="preserve">πως η τελική έκθεση της </w:t>
      </w:r>
      <w:r w:rsidR="0068742C">
        <w:t>BlackRock</w:t>
      </w:r>
      <w:r w:rsidR="0068742C">
        <w:rPr>
          <w:lang w:val="el-GR"/>
        </w:rPr>
        <w:t>θα γίνει αποδεκτή «μόνον εφόσον είναι σύμφωνη με όλους τους όρους και τις προϋποθέσεις της σύμβασης».</w:t>
      </w:r>
    </w:p>
    <w:p w:rsidR="0068742C" w:rsidRPr="0068742C" w:rsidRDefault="0068742C" w:rsidP="009543A7">
      <w:pPr>
        <w:spacing w:line="360" w:lineRule="auto"/>
        <w:jc w:val="both"/>
        <w:rPr>
          <w:sz w:val="16"/>
          <w:szCs w:val="16"/>
          <w:lang w:val="el-GR"/>
        </w:rPr>
      </w:pPr>
    </w:p>
    <w:p w:rsidR="0068742C" w:rsidRPr="001E0E46" w:rsidRDefault="0068742C" w:rsidP="0068742C">
      <w:pPr>
        <w:spacing w:line="360" w:lineRule="auto"/>
        <w:jc w:val="both"/>
        <w:rPr>
          <w:i/>
          <w:iCs/>
          <w:u w:val="single"/>
          <w:lang w:val="el-GR"/>
        </w:rPr>
      </w:pPr>
      <w:r w:rsidRPr="001E0E46">
        <w:rPr>
          <w:i/>
          <w:iCs/>
          <w:u w:val="single"/>
          <w:lang w:val="el-GR"/>
        </w:rPr>
        <w:t xml:space="preserve">Αναφερόμενος στην απάντηση </w:t>
      </w:r>
      <w:r>
        <w:rPr>
          <w:i/>
          <w:iCs/>
          <w:u w:val="single"/>
          <w:lang w:val="el-GR"/>
        </w:rPr>
        <w:t>που έδωσε η</w:t>
      </w:r>
      <w:r w:rsidRPr="001E0E46">
        <w:rPr>
          <w:i/>
          <w:iCs/>
          <w:u w:val="single"/>
          <w:lang w:val="el-GR"/>
        </w:rPr>
        <w:t xml:space="preserve"> Κομισιόν, ο Δημ. Παπαδημούλης δήλωσε τα εξής:</w:t>
      </w:r>
    </w:p>
    <w:p w:rsidR="0068742C" w:rsidRPr="001E0E46" w:rsidRDefault="0068742C" w:rsidP="0068742C">
      <w:pPr>
        <w:spacing w:line="360" w:lineRule="auto"/>
        <w:jc w:val="both"/>
        <w:rPr>
          <w:sz w:val="8"/>
          <w:szCs w:val="8"/>
          <w:lang w:val="el-GR"/>
        </w:rPr>
      </w:pPr>
    </w:p>
    <w:p w:rsidR="0068742C" w:rsidRPr="001E0E46" w:rsidRDefault="0068742C" w:rsidP="0068742C">
      <w:pPr>
        <w:spacing w:line="360" w:lineRule="auto"/>
        <w:jc w:val="both"/>
        <w:rPr>
          <w:lang w:val="el-GR"/>
        </w:rPr>
      </w:pPr>
      <w:r>
        <w:rPr>
          <w:lang w:val="el-GR"/>
        </w:rPr>
        <w:t>«</w:t>
      </w:r>
      <w:r w:rsidR="00F35B00">
        <w:rPr>
          <w:lang w:val="el-GR"/>
        </w:rPr>
        <w:t>’</w:t>
      </w:r>
      <w:r w:rsidR="000233E5">
        <w:rPr>
          <w:lang w:val="el-GR"/>
        </w:rPr>
        <w:t>’</w:t>
      </w:r>
      <w:r>
        <w:rPr>
          <w:lang w:val="el-GR"/>
        </w:rPr>
        <w:t>Καλυπτόμενη</w:t>
      </w:r>
      <w:r w:rsidR="00F35B00">
        <w:rPr>
          <w:lang w:val="el-GR"/>
        </w:rPr>
        <w:t>’</w:t>
      </w:r>
      <w:r w:rsidR="000233E5">
        <w:rPr>
          <w:lang w:val="el-GR"/>
        </w:rPr>
        <w:t>’</w:t>
      </w:r>
      <w:r>
        <w:rPr>
          <w:lang w:val="el-GR"/>
        </w:rPr>
        <w:t xml:space="preserve"> πίσω απ’ όσα προβλέπουν οι διαδικασίες η Κομισιόν δείχνει να αγνοεί το προφανές: Το εξόφθαλμο ενδιαφέρον της </w:t>
      </w:r>
      <w:r>
        <w:t>BlackRock</w:t>
      </w:r>
      <w:r>
        <w:rPr>
          <w:lang w:val="el-GR"/>
        </w:rPr>
        <w:t>να συμβάλλει στον καθορισμό των κριτηρίων σε κεντρικές τομεακές πολιτικές της ΕΕ και μελλοντικές επενδύσεις. Αποφάσεις σαν κι αυτή αναδεικνύουν την ανάγκη μεταρρυθμίσε</w:t>
      </w:r>
      <w:r w:rsidR="00B76D35">
        <w:rPr>
          <w:lang w:val="el-GR"/>
        </w:rPr>
        <w:t>ων</w:t>
      </w:r>
      <w:r>
        <w:rPr>
          <w:lang w:val="el-GR"/>
        </w:rPr>
        <w:t xml:space="preserve"> στις κατευθυντήριες γραμμές των αναθέσεων </w:t>
      </w:r>
      <w:r w:rsidR="00B76D35">
        <w:rPr>
          <w:lang w:val="el-GR"/>
        </w:rPr>
        <w:t>στις συμβάσεις</w:t>
      </w:r>
      <w:r>
        <w:rPr>
          <w:lang w:val="el-GR"/>
        </w:rPr>
        <w:t xml:space="preserve"> έργ</w:t>
      </w:r>
      <w:r w:rsidR="00B76D35">
        <w:rPr>
          <w:lang w:val="el-GR"/>
        </w:rPr>
        <w:t>ων</w:t>
      </w:r>
      <w:r>
        <w:rPr>
          <w:lang w:val="el-GR"/>
        </w:rPr>
        <w:t>. Ταυτόχρονα, απαιτείται συντονισμένη, συλλογική δράση και περαιτέρω πίεση προς την Κομισιόν για να βελτιωθούν τα κριτήρια σε σχέση με πιθανές περιπτώσεις σύγκρουσης συμφερόντων».</w:t>
      </w:r>
    </w:p>
    <w:p w:rsidR="00B76D35" w:rsidRDefault="00B76D35" w:rsidP="009543A7">
      <w:pPr>
        <w:spacing w:line="360" w:lineRule="auto"/>
        <w:jc w:val="both"/>
        <w:rPr>
          <w:lang w:val="el-GR"/>
        </w:rPr>
      </w:pPr>
    </w:p>
    <w:p w:rsidR="0068742C" w:rsidRPr="00E67FD1" w:rsidRDefault="0068742C" w:rsidP="009543A7">
      <w:pPr>
        <w:spacing w:line="360" w:lineRule="auto"/>
        <w:jc w:val="both"/>
        <w:rPr>
          <w:i/>
          <w:iCs/>
          <w:u w:val="single"/>
          <w:lang w:val="el-GR"/>
        </w:rPr>
      </w:pPr>
      <w:r w:rsidRPr="00E67FD1">
        <w:rPr>
          <w:i/>
          <w:iCs/>
          <w:u w:val="single"/>
          <w:lang w:val="el-GR"/>
        </w:rPr>
        <w:t>Ακολουθούν πλήρεις η ερώτηση και η απάντηση:</w:t>
      </w:r>
    </w:p>
    <w:p w:rsidR="0068742C" w:rsidRPr="00502BE3" w:rsidRDefault="0068742C" w:rsidP="009543A7">
      <w:pPr>
        <w:spacing w:line="360" w:lineRule="auto"/>
        <w:jc w:val="both"/>
        <w:rPr>
          <w:sz w:val="16"/>
          <w:szCs w:val="16"/>
          <w:lang w:val="el-GR"/>
        </w:rPr>
      </w:pPr>
    </w:p>
    <w:p w:rsidR="00E67FD1" w:rsidRPr="00E67FD1" w:rsidRDefault="00E67FD1" w:rsidP="00E67FD1">
      <w:pPr>
        <w:pStyle w:val="Arial10"/>
        <w:spacing w:line="360" w:lineRule="auto"/>
        <w:jc w:val="both"/>
        <w:rPr>
          <w:rFonts w:asciiTheme="minorHAnsi" w:hAnsiTheme="minorHAnsi" w:cstheme="minorHAnsi"/>
          <w:i/>
          <w:iCs/>
          <w:sz w:val="24"/>
          <w:szCs w:val="24"/>
          <w:lang w:val="el-GR"/>
        </w:rPr>
      </w:pPr>
      <w:r w:rsidRPr="00E67FD1">
        <w:rPr>
          <w:rStyle w:val="Bold"/>
          <w:rFonts w:asciiTheme="minorHAnsi" w:hAnsiTheme="minorHAnsi" w:cstheme="minorHAnsi"/>
          <w:i/>
          <w:iCs/>
          <w:sz w:val="24"/>
          <w:szCs w:val="24"/>
          <w:lang w:val="el-GR"/>
        </w:rPr>
        <w:t>Ερώτηση προτεραιότητας με αίτημα γραπτής απάντησης προς την Επιτροπή</w:t>
      </w:r>
    </w:p>
    <w:p w:rsidR="00E67FD1" w:rsidRPr="000D225B" w:rsidRDefault="00E67FD1" w:rsidP="00E67FD1">
      <w:pPr>
        <w:pStyle w:val="Arial10"/>
        <w:spacing w:line="360" w:lineRule="auto"/>
        <w:jc w:val="both"/>
        <w:rPr>
          <w:rFonts w:asciiTheme="minorHAnsi" w:hAnsiTheme="minorHAnsi" w:cstheme="minorHAnsi"/>
          <w:sz w:val="24"/>
          <w:szCs w:val="24"/>
          <w:lang w:val="el-GR"/>
        </w:rPr>
      </w:pPr>
      <w:r w:rsidRPr="00E67FD1">
        <w:rPr>
          <w:rFonts w:asciiTheme="minorHAnsi" w:hAnsiTheme="minorHAnsi" w:cstheme="minorHAnsi"/>
          <w:sz w:val="24"/>
          <w:szCs w:val="24"/>
          <w:lang w:val="el-GR"/>
        </w:rPr>
        <w:t>Άρθρο</w:t>
      </w:r>
      <w:r w:rsidRPr="000D225B">
        <w:rPr>
          <w:rFonts w:asciiTheme="minorHAnsi" w:hAnsiTheme="minorHAnsi" w:cstheme="minorHAnsi"/>
          <w:sz w:val="24"/>
          <w:szCs w:val="24"/>
          <w:lang w:val="el-GR"/>
        </w:rPr>
        <w:t xml:space="preserve"> 138 </w:t>
      </w:r>
      <w:r w:rsidRPr="00E67FD1">
        <w:rPr>
          <w:rFonts w:asciiTheme="minorHAnsi" w:hAnsiTheme="minorHAnsi" w:cstheme="minorHAnsi"/>
          <w:sz w:val="24"/>
          <w:szCs w:val="24"/>
          <w:lang w:val="el-GR"/>
        </w:rPr>
        <w:t>τουΚανονισμού</w:t>
      </w:r>
    </w:p>
    <w:p w:rsidR="00E67FD1" w:rsidRPr="000D225B" w:rsidRDefault="00E67FD1" w:rsidP="00E67FD1">
      <w:pPr>
        <w:pStyle w:val="Arial10After10"/>
        <w:spacing w:line="360" w:lineRule="auto"/>
        <w:jc w:val="both"/>
        <w:rPr>
          <w:rFonts w:asciiTheme="minorHAnsi" w:hAnsiTheme="minorHAnsi" w:cstheme="minorHAnsi"/>
          <w:b/>
          <w:bCs/>
          <w:sz w:val="24"/>
          <w:szCs w:val="24"/>
          <w:lang w:val="el-GR"/>
        </w:rPr>
      </w:pPr>
      <w:r w:rsidRPr="00E67FD1">
        <w:rPr>
          <w:rStyle w:val="Bold"/>
          <w:rFonts w:asciiTheme="minorHAnsi" w:hAnsiTheme="minorHAnsi" w:cstheme="minorHAnsi"/>
          <w:b w:val="0"/>
          <w:bCs/>
          <w:sz w:val="24"/>
          <w:szCs w:val="24"/>
        </w:rPr>
        <w:t>PascalDurand</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RasmusAndresen</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MarcAngel</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GabrieleBischoff</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DamianBoeselager</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SylvieBrunet</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DelaraBurkhardt</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ReinhardB</w:t>
      </w:r>
      <w:r w:rsidRPr="000D225B">
        <w:rPr>
          <w:rStyle w:val="Bold"/>
          <w:rFonts w:asciiTheme="minorHAnsi" w:hAnsiTheme="minorHAnsi" w:cstheme="minorHAnsi"/>
          <w:b w:val="0"/>
          <w:bCs/>
          <w:sz w:val="24"/>
          <w:szCs w:val="24"/>
          <w:lang w:val="el-GR"/>
        </w:rPr>
        <w:t>ü</w:t>
      </w:r>
      <w:r w:rsidRPr="00E67FD1">
        <w:rPr>
          <w:rStyle w:val="Bold"/>
          <w:rFonts w:asciiTheme="minorHAnsi" w:hAnsiTheme="minorHAnsi" w:cstheme="minorHAnsi"/>
          <w:b w:val="0"/>
          <w:bCs/>
          <w:sz w:val="24"/>
          <w:szCs w:val="24"/>
        </w:rPr>
        <w:t>tikofer</w:t>
      </w:r>
      <w:r w:rsidRPr="000D225B">
        <w:rPr>
          <w:rStyle w:val="Bold"/>
          <w:rFonts w:asciiTheme="minorHAnsi" w:hAnsiTheme="minorHAnsi" w:cstheme="minorHAnsi"/>
          <w:b w:val="0"/>
          <w:bCs/>
          <w:sz w:val="24"/>
          <w:szCs w:val="24"/>
          <w:lang w:val="el-GR"/>
        </w:rPr>
        <w:t>,</w:t>
      </w:r>
      <w:r w:rsidRPr="00E67FD1">
        <w:rPr>
          <w:rStyle w:val="Bold"/>
          <w:rFonts w:asciiTheme="minorHAnsi" w:hAnsiTheme="minorHAnsi" w:cstheme="minorHAnsi"/>
          <w:b w:val="0"/>
          <w:bCs/>
          <w:sz w:val="24"/>
          <w:szCs w:val="24"/>
        </w:rPr>
        <w:t>PascalCanfin</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AnnaCavazzini</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CatherineChabaud</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KatalinCseh</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GwendolineDelbos</w:t>
      </w:r>
      <w:r w:rsidRPr="000D225B">
        <w:rPr>
          <w:rStyle w:val="Bold"/>
          <w:rFonts w:asciiTheme="minorHAnsi" w:hAnsiTheme="minorHAnsi" w:cstheme="minorHAnsi"/>
          <w:b w:val="0"/>
          <w:bCs/>
          <w:sz w:val="24"/>
          <w:szCs w:val="24"/>
          <w:lang w:val="el-GR"/>
        </w:rPr>
        <w:t>-</w:t>
      </w:r>
      <w:r w:rsidRPr="00E67FD1">
        <w:rPr>
          <w:rStyle w:val="Bold"/>
          <w:rFonts w:asciiTheme="minorHAnsi" w:hAnsiTheme="minorHAnsi" w:cstheme="minorHAnsi"/>
          <w:b w:val="0"/>
          <w:bCs/>
          <w:sz w:val="24"/>
          <w:szCs w:val="24"/>
        </w:rPr>
        <w:t>Corfield</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AnnaJ</w:t>
      </w:r>
      <w:r w:rsidRPr="000D225B">
        <w:rPr>
          <w:rStyle w:val="Bold"/>
          <w:rFonts w:asciiTheme="minorHAnsi" w:hAnsiTheme="minorHAnsi" w:cstheme="minorHAnsi"/>
          <w:b w:val="0"/>
          <w:bCs/>
          <w:sz w:val="24"/>
          <w:szCs w:val="24"/>
          <w:lang w:val="el-GR"/>
        </w:rPr>
        <w:t>ú</w:t>
      </w:r>
      <w:r w:rsidRPr="00E67FD1">
        <w:rPr>
          <w:rStyle w:val="Bold"/>
          <w:rFonts w:asciiTheme="minorHAnsi" w:hAnsiTheme="minorHAnsi" w:cstheme="minorHAnsi"/>
          <w:b w:val="0"/>
          <w:bCs/>
          <w:sz w:val="24"/>
          <w:szCs w:val="24"/>
        </w:rPr>
        <w:t>liaDon</w:t>
      </w:r>
      <w:r w:rsidRPr="000D225B">
        <w:rPr>
          <w:rStyle w:val="Bold"/>
          <w:rFonts w:asciiTheme="minorHAnsi" w:hAnsiTheme="minorHAnsi" w:cstheme="minorHAnsi"/>
          <w:b w:val="0"/>
          <w:bCs/>
          <w:sz w:val="24"/>
          <w:szCs w:val="24"/>
          <w:lang w:val="el-GR"/>
        </w:rPr>
        <w:t>á</w:t>
      </w:r>
      <w:r w:rsidRPr="00E67FD1">
        <w:rPr>
          <w:rStyle w:val="Bold"/>
          <w:rFonts w:asciiTheme="minorHAnsi" w:hAnsiTheme="minorHAnsi" w:cstheme="minorHAnsi"/>
          <w:b w:val="0"/>
          <w:bCs/>
          <w:sz w:val="24"/>
          <w:szCs w:val="24"/>
        </w:rPr>
        <w:t>th</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LaurenceFarreng</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DanielFreund</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AlexisGeorgoulis</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DinoGiarrusso</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Rapha</w:t>
      </w:r>
      <w:r w:rsidRPr="000D225B">
        <w:rPr>
          <w:rStyle w:val="Bold"/>
          <w:rFonts w:asciiTheme="minorHAnsi" w:hAnsiTheme="minorHAnsi" w:cstheme="minorHAnsi"/>
          <w:b w:val="0"/>
          <w:bCs/>
          <w:sz w:val="24"/>
          <w:szCs w:val="24"/>
          <w:lang w:val="el-GR"/>
        </w:rPr>
        <w:t>ë</w:t>
      </w:r>
      <w:r w:rsidRPr="00E67FD1">
        <w:rPr>
          <w:rStyle w:val="Bold"/>
          <w:rFonts w:asciiTheme="minorHAnsi" w:hAnsiTheme="minorHAnsi" w:cstheme="minorHAnsi"/>
          <w:b w:val="0"/>
          <w:bCs/>
          <w:sz w:val="24"/>
          <w:szCs w:val="24"/>
        </w:rPr>
        <w:t>lGlucksmann</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CharlesGoerens</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SandroGozi</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ChristopheGrudler</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ClaudeGruffat</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Jos</w:t>
      </w:r>
      <w:r w:rsidRPr="000D225B">
        <w:rPr>
          <w:rStyle w:val="Bold"/>
          <w:rFonts w:asciiTheme="minorHAnsi" w:hAnsiTheme="minorHAnsi" w:cstheme="minorHAnsi"/>
          <w:b w:val="0"/>
          <w:bCs/>
          <w:sz w:val="24"/>
          <w:szCs w:val="24"/>
          <w:lang w:val="el-GR"/>
        </w:rPr>
        <w:t xml:space="preserve">é </w:t>
      </w:r>
      <w:r w:rsidRPr="00E67FD1">
        <w:rPr>
          <w:rStyle w:val="Bold"/>
          <w:rFonts w:asciiTheme="minorHAnsi" w:hAnsiTheme="minorHAnsi" w:cstheme="minorHAnsi"/>
          <w:b w:val="0"/>
          <w:bCs/>
          <w:sz w:val="24"/>
          <w:szCs w:val="24"/>
        </w:rPr>
        <w:t>Gusm</w:t>
      </w:r>
      <w:r w:rsidRPr="000D225B">
        <w:rPr>
          <w:rStyle w:val="Bold"/>
          <w:rFonts w:asciiTheme="minorHAnsi" w:hAnsiTheme="minorHAnsi" w:cstheme="minorHAnsi"/>
          <w:b w:val="0"/>
          <w:bCs/>
          <w:sz w:val="24"/>
          <w:szCs w:val="24"/>
          <w:lang w:val="el-GR"/>
        </w:rPr>
        <w:t>ã</w:t>
      </w:r>
      <w:r w:rsidRPr="00E67FD1">
        <w:rPr>
          <w:rStyle w:val="Bold"/>
          <w:rFonts w:asciiTheme="minorHAnsi" w:hAnsiTheme="minorHAnsi" w:cstheme="minorHAnsi"/>
          <w:b w:val="0"/>
          <w:bCs/>
          <w:sz w:val="24"/>
          <w:szCs w:val="24"/>
        </w:rPr>
        <w:t>o</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Sophiain</w:t>
      </w:r>
      <w:r w:rsidRPr="000D225B">
        <w:rPr>
          <w:rStyle w:val="Bold"/>
          <w:rFonts w:asciiTheme="minorHAnsi" w:hAnsiTheme="minorHAnsi" w:cstheme="minorHAnsi"/>
          <w:b w:val="0"/>
          <w:bCs/>
          <w:sz w:val="24"/>
          <w:szCs w:val="24"/>
          <w:lang w:val="el-GR"/>
        </w:rPr>
        <w:t xml:space="preserve"> '</w:t>
      </w:r>
      <w:r w:rsidRPr="00E67FD1">
        <w:rPr>
          <w:rStyle w:val="Bold"/>
          <w:rFonts w:asciiTheme="minorHAnsi" w:hAnsiTheme="minorHAnsi" w:cstheme="minorHAnsi"/>
          <w:b w:val="0"/>
          <w:bCs/>
          <w:sz w:val="24"/>
          <w:szCs w:val="24"/>
        </w:rPr>
        <w:t>tVeld</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IrenaJoveva</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PierreKarleskind</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FabienneKeller</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PierreLarrouturou</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NathalieLoiseau</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MarisaMatias</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TillyMetz</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MariaNoichl</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DimitriosPapadimoulis</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EvelynRegner</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DominiqueRiquet</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AlfredSant</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Ir</w:t>
      </w:r>
      <w:r w:rsidRPr="000D225B">
        <w:rPr>
          <w:rStyle w:val="Bold"/>
          <w:rFonts w:asciiTheme="minorHAnsi" w:hAnsiTheme="minorHAnsi" w:cstheme="minorHAnsi"/>
          <w:b w:val="0"/>
          <w:bCs/>
          <w:sz w:val="24"/>
          <w:szCs w:val="24"/>
          <w:lang w:val="el-GR"/>
        </w:rPr>
        <w:t>è</w:t>
      </w:r>
      <w:r w:rsidRPr="00E67FD1">
        <w:rPr>
          <w:rStyle w:val="Bold"/>
          <w:rFonts w:asciiTheme="minorHAnsi" w:hAnsiTheme="minorHAnsi" w:cstheme="minorHAnsi"/>
          <w:b w:val="0"/>
          <w:bCs/>
          <w:sz w:val="24"/>
          <w:szCs w:val="24"/>
        </w:rPr>
        <w:t>neTolleret</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V</w:t>
      </w:r>
      <w:r w:rsidRPr="000D225B">
        <w:rPr>
          <w:rStyle w:val="Bold"/>
          <w:rFonts w:asciiTheme="minorHAnsi" w:hAnsiTheme="minorHAnsi" w:cstheme="minorHAnsi"/>
          <w:b w:val="0"/>
          <w:bCs/>
          <w:sz w:val="24"/>
          <w:szCs w:val="24"/>
          <w:lang w:val="el-GR"/>
        </w:rPr>
        <w:t>é</w:t>
      </w:r>
      <w:r w:rsidRPr="00E67FD1">
        <w:rPr>
          <w:rStyle w:val="Bold"/>
          <w:rFonts w:asciiTheme="minorHAnsi" w:hAnsiTheme="minorHAnsi" w:cstheme="minorHAnsi"/>
          <w:b w:val="0"/>
          <w:bCs/>
          <w:sz w:val="24"/>
          <w:szCs w:val="24"/>
        </w:rPr>
        <w:t>roniqueTrillet</w:t>
      </w:r>
      <w:r w:rsidRPr="000D225B">
        <w:rPr>
          <w:rStyle w:val="Bold"/>
          <w:rFonts w:asciiTheme="minorHAnsi" w:hAnsiTheme="minorHAnsi" w:cstheme="minorHAnsi"/>
          <w:b w:val="0"/>
          <w:bCs/>
          <w:sz w:val="24"/>
          <w:szCs w:val="24"/>
          <w:lang w:val="el-GR"/>
        </w:rPr>
        <w:t>-</w:t>
      </w:r>
      <w:r w:rsidRPr="00E67FD1">
        <w:rPr>
          <w:rStyle w:val="Bold"/>
          <w:rFonts w:asciiTheme="minorHAnsi" w:hAnsiTheme="minorHAnsi" w:cstheme="minorHAnsi"/>
          <w:b w:val="0"/>
          <w:bCs/>
          <w:sz w:val="24"/>
          <w:szCs w:val="24"/>
        </w:rPr>
        <w:t>Lenoir</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ErnestUrtasun</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ViktorUspaskich</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Marie</w:t>
      </w:r>
      <w:r w:rsidRPr="000D225B">
        <w:rPr>
          <w:rStyle w:val="Bold"/>
          <w:rFonts w:asciiTheme="minorHAnsi" w:hAnsiTheme="minorHAnsi" w:cstheme="minorHAnsi"/>
          <w:b w:val="0"/>
          <w:bCs/>
          <w:sz w:val="24"/>
          <w:szCs w:val="24"/>
          <w:lang w:val="el-GR"/>
        </w:rPr>
        <w:t>-</w:t>
      </w:r>
      <w:r w:rsidRPr="00E67FD1">
        <w:rPr>
          <w:rStyle w:val="Bold"/>
          <w:rFonts w:asciiTheme="minorHAnsi" w:hAnsiTheme="minorHAnsi" w:cstheme="minorHAnsi"/>
          <w:b w:val="0"/>
          <w:bCs/>
          <w:sz w:val="24"/>
          <w:szCs w:val="24"/>
        </w:rPr>
        <w:t>PierreVedrenne</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SalimaYenbou</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St</w:t>
      </w:r>
      <w:r w:rsidRPr="000D225B">
        <w:rPr>
          <w:rStyle w:val="Bold"/>
          <w:rFonts w:asciiTheme="minorHAnsi" w:hAnsiTheme="minorHAnsi" w:cstheme="minorHAnsi"/>
          <w:b w:val="0"/>
          <w:bCs/>
          <w:sz w:val="24"/>
          <w:szCs w:val="24"/>
          <w:lang w:val="el-GR"/>
        </w:rPr>
        <w:t>é</w:t>
      </w:r>
      <w:r w:rsidRPr="00E67FD1">
        <w:rPr>
          <w:rStyle w:val="Bold"/>
          <w:rFonts w:asciiTheme="minorHAnsi" w:hAnsiTheme="minorHAnsi" w:cstheme="minorHAnsi"/>
          <w:b w:val="0"/>
          <w:bCs/>
          <w:sz w:val="24"/>
          <w:szCs w:val="24"/>
        </w:rPr>
        <w:t>phanieYon</w:t>
      </w:r>
      <w:r w:rsidRPr="000D225B">
        <w:rPr>
          <w:rStyle w:val="Bold"/>
          <w:rFonts w:asciiTheme="minorHAnsi" w:hAnsiTheme="minorHAnsi" w:cstheme="minorHAnsi"/>
          <w:b w:val="0"/>
          <w:bCs/>
          <w:sz w:val="24"/>
          <w:szCs w:val="24"/>
          <w:lang w:val="el-GR"/>
        </w:rPr>
        <w:t>-</w:t>
      </w:r>
      <w:r w:rsidRPr="00E67FD1">
        <w:rPr>
          <w:rStyle w:val="Bold"/>
          <w:rFonts w:asciiTheme="minorHAnsi" w:hAnsiTheme="minorHAnsi" w:cstheme="minorHAnsi"/>
          <w:b w:val="0"/>
          <w:bCs/>
          <w:sz w:val="24"/>
          <w:szCs w:val="24"/>
        </w:rPr>
        <w:t>Courtin</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ChrysoulaZacharopoulou</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DanielaRondinelli</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HelmutGeuking</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DamienCar</w:t>
      </w:r>
      <w:r w:rsidRPr="000D225B">
        <w:rPr>
          <w:rStyle w:val="Bold"/>
          <w:rFonts w:asciiTheme="minorHAnsi" w:hAnsiTheme="minorHAnsi" w:cstheme="minorHAnsi"/>
          <w:b w:val="0"/>
          <w:bCs/>
          <w:sz w:val="24"/>
          <w:szCs w:val="24"/>
          <w:lang w:val="el-GR"/>
        </w:rPr>
        <w:t>ê</w:t>
      </w:r>
      <w:r w:rsidRPr="00E67FD1">
        <w:rPr>
          <w:rStyle w:val="Bold"/>
          <w:rFonts w:asciiTheme="minorHAnsi" w:hAnsiTheme="minorHAnsi" w:cstheme="minorHAnsi"/>
          <w:b w:val="0"/>
          <w:bCs/>
          <w:sz w:val="24"/>
          <w:szCs w:val="24"/>
        </w:rPr>
        <w:t>me</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KarimaDelli</w:t>
      </w:r>
      <w:r w:rsidRPr="000D225B">
        <w:rPr>
          <w:rStyle w:val="Bold"/>
          <w:rFonts w:asciiTheme="minorHAnsi" w:hAnsiTheme="minorHAnsi" w:cstheme="minorHAnsi"/>
          <w:b w:val="0"/>
          <w:bCs/>
          <w:sz w:val="24"/>
          <w:szCs w:val="24"/>
          <w:lang w:val="el-GR"/>
        </w:rPr>
        <w:t>,</w:t>
      </w:r>
      <w:r w:rsidRPr="00E67FD1">
        <w:rPr>
          <w:rStyle w:val="Bold"/>
          <w:rFonts w:asciiTheme="minorHAnsi" w:hAnsiTheme="minorHAnsi" w:cstheme="minorHAnsi"/>
          <w:b w:val="0"/>
          <w:bCs/>
          <w:sz w:val="24"/>
          <w:szCs w:val="24"/>
        </w:rPr>
        <w:t>CarolineRoose</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MounirSatouri</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MarieToussaint</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ClotildeArmand</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MalinBj</w:t>
      </w:r>
      <w:r w:rsidRPr="000D225B">
        <w:rPr>
          <w:rStyle w:val="Bold"/>
          <w:rFonts w:asciiTheme="minorHAnsi" w:hAnsiTheme="minorHAnsi" w:cstheme="minorHAnsi"/>
          <w:b w:val="0"/>
          <w:bCs/>
          <w:sz w:val="24"/>
          <w:szCs w:val="24"/>
          <w:lang w:val="el-GR"/>
        </w:rPr>
        <w:t>ö</w:t>
      </w:r>
      <w:r w:rsidRPr="00E67FD1">
        <w:rPr>
          <w:rStyle w:val="Bold"/>
          <w:rFonts w:asciiTheme="minorHAnsi" w:hAnsiTheme="minorHAnsi" w:cstheme="minorHAnsi"/>
          <w:b w:val="0"/>
          <w:bCs/>
          <w:sz w:val="24"/>
          <w:szCs w:val="24"/>
        </w:rPr>
        <w:t>rk</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RobertBiedro</w:t>
      </w:r>
      <w:r w:rsidRPr="000D225B">
        <w:rPr>
          <w:rStyle w:val="Bold"/>
          <w:rFonts w:asciiTheme="minorHAnsi" w:hAnsiTheme="minorHAnsi" w:cstheme="minorHAnsi"/>
          <w:b w:val="0"/>
          <w:bCs/>
          <w:sz w:val="24"/>
          <w:szCs w:val="24"/>
          <w:lang w:val="el-GR"/>
        </w:rPr>
        <w:t>ń</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EricAndrieu</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BernardGuetta</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AndreasSchieder</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SylvieGuillaume</w:t>
      </w:r>
      <w:r w:rsidRPr="000D225B">
        <w:rPr>
          <w:rStyle w:val="Bold"/>
          <w:rFonts w:asciiTheme="minorHAnsi" w:hAnsiTheme="minorHAnsi" w:cstheme="minorHAnsi"/>
          <w:b w:val="0"/>
          <w:bCs/>
          <w:sz w:val="24"/>
          <w:szCs w:val="24"/>
          <w:lang w:val="el-GR"/>
        </w:rPr>
        <w:t>,</w:t>
      </w:r>
      <w:r w:rsidRPr="00E67FD1">
        <w:rPr>
          <w:rStyle w:val="Bold"/>
          <w:rFonts w:asciiTheme="minorHAnsi" w:hAnsiTheme="minorHAnsi" w:cstheme="minorHAnsi"/>
          <w:b w:val="0"/>
          <w:bCs/>
          <w:sz w:val="24"/>
          <w:szCs w:val="24"/>
        </w:rPr>
        <w:t>MilanBrglez</w:t>
      </w:r>
      <w:r w:rsidRPr="000D225B">
        <w:rPr>
          <w:rStyle w:val="Bold"/>
          <w:rFonts w:asciiTheme="minorHAnsi" w:hAnsiTheme="minorHAnsi" w:cstheme="minorHAnsi"/>
          <w:b w:val="0"/>
          <w:bCs/>
          <w:sz w:val="24"/>
          <w:szCs w:val="24"/>
          <w:lang w:val="el-GR"/>
        </w:rPr>
        <w:t>,</w:t>
      </w:r>
      <w:r w:rsidRPr="00E67FD1">
        <w:rPr>
          <w:rStyle w:val="Bold"/>
          <w:rFonts w:asciiTheme="minorHAnsi" w:hAnsiTheme="minorHAnsi" w:cstheme="minorHAnsi"/>
          <w:b w:val="0"/>
          <w:bCs/>
          <w:sz w:val="24"/>
          <w:szCs w:val="24"/>
        </w:rPr>
        <w:t>NoraMebarek</w:t>
      </w:r>
      <w:r w:rsidRPr="000D225B">
        <w:rPr>
          <w:rFonts w:asciiTheme="minorHAnsi" w:hAnsiTheme="minorHAnsi" w:cstheme="minorHAnsi"/>
          <w:b/>
          <w:bCs/>
          <w:sz w:val="24"/>
          <w:szCs w:val="24"/>
          <w:lang w:val="el-GR"/>
        </w:rPr>
        <w:t xml:space="preserve">, </w:t>
      </w:r>
      <w:r w:rsidRPr="00E67FD1">
        <w:rPr>
          <w:rStyle w:val="Bold"/>
          <w:rFonts w:asciiTheme="minorHAnsi" w:hAnsiTheme="minorHAnsi" w:cstheme="minorHAnsi"/>
          <w:b w:val="0"/>
          <w:bCs/>
          <w:sz w:val="24"/>
          <w:szCs w:val="24"/>
        </w:rPr>
        <w:t>JosianneCutajar</w:t>
      </w:r>
    </w:p>
    <w:p w:rsidR="00E67FD1" w:rsidRPr="00E67FD1" w:rsidRDefault="00E67FD1" w:rsidP="00E67FD1">
      <w:pPr>
        <w:pStyle w:val="Subject"/>
        <w:spacing w:line="360" w:lineRule="auto"/>
        <w:jc w:val="both"/>
        <w:rPr>
          <w:rFonts w:asciiTheme="minorHAnsi" w:hAnsiTheme="minorHAnsi" w:cstheme="minorHAnsi"/>
          <w:sz w:val="24"/>
          <w:szCs w:val="24"/>
          <w:lang w:val="el-GR"/>
        </w:rPr>
      </w:pPr>
      <w:r w:rsidRPr="00E67FD1">
        <w:rPr>
          <w:rFonts w:asciiTheme="minorHAnsi" w:hAnsiTheme="minorHAnsi" w:cstheme="minorHAnsi"/>
          <w:sz w:val="24"/>
          <w:szCs w:val="24"/>
          <w:lang w:val="el-GR"/>
        </w:rPr>
        <w:lastRenderedPageBreak/>
        <w:t>Θέμα:</w:t>
      </w:r>
      <w:r w:rsidRPr="00E67FD1">
        <w:rPr>
          <w:rFonts w:asciiTheme="minorHAnsi" w:hAnsiTheme="minorHAnsi" w:cstheme="minorHAnsi"/>
          <w:sz w:val="24"/>
          <w:szCs w:val="24"/>
          <w:lang w:val="el-GR"/>
        </w:rPr>
        <w:tab/>
        <w:t xml:space="preserve">Απόφαση της Επιτροπής να αναθέσει σύμβαση στην </w:t>
      </w:r>
      <w:r w:rsidRPr="00E67FD1">
        <w:rPr>
          <w:rFonts w:asciiTheme="minorHAnsi" w:hAnsiTheme="minorHAnsi" w:cstheme="minorHAnsi"/>
          <w:sz w:val="24"/>
          <w:szCs w:val="24"/>
        </w:rPr>
        <w:t>BlackRock</w:t>
      </w:r>
      <w:r w:rsidRPr="00E67FD1">
        <w:rPr>
          <w:rFonts w:asciiTheme="minorHAnsi" w:hAnsiTheme="minorHAnsi" w:cstheme="minorHAnsi"/>
          <w:sz w:val="24"/>
          <w:szCs w:val="24"/>
          <w:lang w:val="el-GR"/>
        </w:rPr>
        <w:t xml:space="preserve"> για την παρακολούθηση της ανάπτυξης των παραγόντων ΠΚΔ στον τραπεζικό τομέα της ΕΕ και στις εταιρικές επενδυτικές πολιτικές</w:t>
      </w:r>
    </w:p>
    <w:p w:rsidR="00E67FD1" w:rsidRPr="00E67FD1" w:rsidRDefault="00E67FD1" w:rsidP="00E67FD1">
      <w:pPr>
        <w:pStyle w:val="Body"/>
        <w:spacing w:line="360" w:lineRule="auto"/>
        <w:jc w:val="both"/>
        <w:rPr>
          <w:rFonts w:asciiTheme="minorHAnsi" w:hAnsiTheme="minorHAnsi" w:cstheme="minorHAnsi"/>
          <w:sz w:val="24"/>
          <w:szCs w:val="24"/>
          <w:lang w:val="el-GR"/>
        </w:rPr>
      </w:pPr>
      <w:r w:rsidRPr="00E67FD1">
        <w:rPr>
          <w:rFonts w:asciiTheme="minorHAnsi" w:hAnsiTheme="minorHAnsi" w:cstheme="minorHAnsi"/>
          <w:sz w:val="24"/>
          <w:szCs w:val="24"/>
          <w:lang w:val="el-GR"/>
        </w:rPr>
        <w:t xml:space="preserve">Στις 8 Απριλίου 2020, η Επιτροπή ανέθεσε στην </w:t>
      </w:r>
      <w:r w:rsidRPr="00E67FD1">
        <w:rPr>
          <w:rFonts w:asciiTheme="minorHAnsi" w:hAnsiTheme="minorHAnsi" w:cstheme="minorHAnsi"/>
          <w:sz w:val="24"/>
          <w:szCs w:val="24"/>
        </w:rPr>
        <w:t>BlackRock</w:t>
      </w:r>
      <w:r w:rsidRPr="00E67FD1">
        <w:rPr>
          <w:rFonts w:asciiTheme="minorHAnsi" w:hAnsiTheme="minorHAnsi" w:cstheme="minorHAnsi"/>
          <w:sz w:val="24"/>
          <w:szCs w:val="24"/>
          <w:lang w:val="el-GR"/>
        </w:rPr>
        <w:t xml:space="preserve"> σύμβαση για την παρακολούθηση της ανάπτυξης των κατευθυντήριων γραμμών περιβαλλοντικής βιωσιμότητας για τον τραπεζικό τομέα της ΕΕ και τις εταιρικές επενδυτικές πολιτικές.</w:t>
      </w:r>
    </w:p>
    <w:p w:rsidR="00E67FD1" w:rsidRPr="00E67FD1" w:rsidRDefault="00E67FD1" w:rsidP="00E67FD1">
      <w:pPr>
        <w:pStyle w:val="Body"/>
        <w:spacing w:line="360" w:lineRule="auto"/>
        <w:jc w:val="both"/>
        <w:rPr>
          <w:rFonts w:asciiTheme="minorHAnsi" w:hAnsiTheme="minorHAnsi" w:cstheme="minorHAnsi"/>
          <w:sz w:val="24"/>
          <w:szCs w:val="24"/>
          <w:lang w:val="el-GR"/>
        </w:rPr>
      </w:pPr>
      <w:r w:rsidRPr="00E67FD1">
        <w:rPr>
          <w:rFonts w:asciiTheme="minorHAnsi" w:hAnsiTheme="minorHAnsi" w:cstheme="minorHAnsi"/>
          <w:sz w:val="24"/>
          <w:szCs w:val="24"/>
          <w:lang w:val="el-GR"/>
        </w:rPr>
        <w:t xml:space="preserve">Η εταιρία </w:t>
      </w:r>
      <w:r w:rsidRPr="00E67FD1">
        <w:rPr>
          <w:rFonts w:asciiTheme="minorHAnsi" w:hAnsiTheme="minorHAnsi" w:cstheme="minorHAnsi"/>
          <w:sz w:val="24"/>
          <w:szCs w:val="24"/>
        </w:rPr>
        <w:t>BlackRock</w:t>
      </w:r>
      <w:r w:rsidRPr="00E67FD1">
        <w:rPr>
          <w:rFonts w:asciiTheme="minorHAnsi" w:hAnsiTheme="minorHAnsi" w:cstheme="minorHAnsi"/>
          <w:sz w:val="24"/>
          <w:szCs w:val="24"/>
          <w:lang w:val="el-GR"/>
        </w:rPr>
        <w:t xml:space="preserve"> είναι σημαντικός παγκόσμιος διαχειριστής επενδύσεων για τον τραπεζικό τομέα και τον τομέα παραγωγής ενέργειας με βάση τον άνθρακα, με την παρούσα αξία των στοιχείων ενεργητικού της να αποτιμάται σε 87,3 δισεκατομμύρια </w:t>
      </w:r>
      <w:r w:rsidRPr="00E67FD1">
        <w:rPr>
          <w:rFonts w:asciiTheme="minorHAnsi" w:hAnsiTheme="minorHAnsi" w:cstheme="minorHAnsi"/>
          <w:sz w:val="24"/>
          <w:szCs w:val="24"/>
        </w:rPr>
        <w:t>USD</w:t>
      </w:r>
      <w:r w:rsidRPr="00E67FD1">
        <w:rPr>
          <w:rFonts w:asciiTheme="minorHAnsi" w:hAnsiTheme="minorHAnsi" w:cstheme="minorHAnsi"/>
          <w:sz w:val="24"/>
          <w:szCs w:val="24"/>
          <w:lang w:val="el-GR"/>
        </w:rPr>
        <w:t xml:space="preserve">. Έχει αντιταχθεί επανειλημμένα στα σχέδια της Επιτροπής να εξετάσει τον αντίκτυπο των εταιριών στο περιβάλλον και στην κλιματική αλλαγή. Είναι πιθανό ότι θα διαχειρίζεται στοιχεία ενεργητικού που θα συνδέονται με την ανάκαμψη μετά την κρίση του </w:t>
      </w:r>
      <w:r w:rsidRPr="00E67FD1">
        <w:rPr>
          <w:rFonts w:asciiTheme="minorHAnsi" w:hAnsiTheme="minorHAnsi" w:cstheme="minorHAnsi"/>
          <w:sz w:val="24"/>
          <w:szCs w:val="24"/>
        </w:rPr>
        <w:t>COVID</w:t>
      </w:r>
      <w:r w:rsidRPr="00E67FD1">
        <w:rPr>
          <w:rFonts w:asciiTheme="minorHAnsi" w:hAnsiTheme="minorHAnsi" w:cstheme="minorHAnsi"/>
          <w:sz w:val="24"/>
          <w:szCs w:val="24"/>
          <w:lang w:val="el-GR"/>
        </w:rPr>
        <w:t>.</w:t>
      </w:r>
    </w:p>
    <w:p w:rsidR="00E67FD1" w:rsidRPr="00E67FD1" w:rsidRDefault="00E67FD1" w:rsidP="00E67FD1">
      <w:pPr>
        <w:pStyle w:val="Body"/>
        <w:spacing w:line="360" w:lineRule="auto"/>
        <w:jc w:val="both"/>
        <w:rPr>
          <w:rFonts w:asciiTheme="minorHAnsi" w:hAnsiTheme="minorHAnsi" w:cstheme="minorHAnsi"/>
          <w:sz w:val="24"/>
          <w:szCs w:val="24"/>
          <w:lang w:val="el-GR"/>
        </w:rPr>
      </w:pPr>
      <w:r w:rsidRPr="00E67FD1">
        <w:rPr>
          <w:rFonts w:asciiTheme="minorHAnsi" w:hAnsiTheme="minorHAnsi" w:cstheme="minorHAnsi"/>
          <w:sz w:val="24"/>
          <w:szCs w:val="24"/>
          <w:lang w:val="el-GR"/>
        </w:rPr>
        <w:t xml:space="preserve">Η ανάθεση αυτή έγινε μετά την επιλογή της </w:t>
      </w:r>
      <w:r w:rsidRPr="00E67FD1">
        <w:rPr>
          <w:rFonts w:asciiTheme="minorHAnsi" w:hAnsiTheme="minorHAnsi" w:cstheme="minorHAnsi"/>
          <w:sz w:val="24"/>
          <w:szCs w:val="24"/>
        </w:rPr>
        <w:t>BlackRock</w:t>
      </w:r>
      <w:r w:rsidRPr="00E67FD1">
        <w:rPr>
          <w:rFonts w:asciiTheme="minorHAnsi" w:hAnsiTheme="minorHAnsi" w:cstheme="minorHAnsi"/>
          <w:sz w:val="24"/>
          <w:szCs w:val="24"/>
          <w:lang w:val="el-GR"/>
        </w:rPr>
        <w:t xml:space="preserve"> από τις ΗΠΑ για την παροχή συμβουλών σχετικά με την αγορά ομολόγων και χρεωστικών τίτλων. Σε εποχή κρίσης, η απόφαση της Επιτροπής εγείρει σοβαρές ανησυχίες σχετικά με τη βούλησή της να θέσει πρώτα την κυριαρχία της ΕΕ. Ως αποτέλεσμα, η Επιτροπή θα πρέπει να εξετάσει το ενδεχόμενο να ανοίξει εκ νέου την προαναφερθείσα πρόσκληση υποβολής προσφορών.</w:t>
      </w:r>
    </w:p>
    <w:p w:rsidR="00E67FD1" w:rsidRPr="00E67FD1" w:rsidRDefault="00E67FD1" w:rsidP="00E67FD1">
      <w:pPr>
        <w:pStyle w:val="Body"/>
        <w:spacing w:line="360" w:lineRule="auto"/>
        <w:jc w:val="both"/>
        <w:rPr>
          <w:rFonts w:asciiTheme="minorHAnsi" w:hAnsiTheme="minorHAnsi" w:cstheme="minorHAnsi"/>
          <w:sz w:val="24"/>
          <w:szCs w:val="24"/>
          <w:lang w:val="el-GR"/>
        </w:rPr>
      </w:pPr>
      <w:r w:rsidRPr="00E67FD1">
        <w:rPr>
          <w:rFonts w:asciiTheme="minorHAnsi" w:hAnsiTheme="minorHAnsi" w:cstheme="minorHAnsi"/>
          <w:sz w:val="24"/>
          <w:szCs w:val="24"/>
          <w:lang w:val="el-GR"/>
        </w:rPr>
        <w:t xml:space="preserve">Γνωρίζει η Επιτροπή ότι η απόφασή της να αναθέσει σύμβαση στην </w:t>
      </w:r>
      <w:r w:rsidRPr="00E67FD1">
        <w:rPr>
          <w:rFonts w:asciiTheme="minorHAnsi" w:hAnsiTheme="minorHAnsi" w:cstheme="minorHAnsi"/>
          <w:sz w:val="24"/>
          <w:szCs w:val="24"/>
        </w:rPr>
        <w:t>BlackRock</w:t>
      </w:r>
      <w:r w:rsidRPr="00E67FD1">
        <w:rPr>
          <w:rFonts w:asciiTheme="minorHAnsi" w:hAnsiTheme="minorHAnsi" w:cstheme="minorHAnsi"/>
          <w:sz w:val="24"/>
          <w:szCs w:val="24"/>
          <w:lang w:val="el-GR"/>
        </w:rPr>
        <w:t>:</w:t>
      </w:r>
    </w:p>
    <w:p w:rsidR="00E67FD1" w:rsidRPr="00E67FD1" w:rsidRDefault="00E67FD1" w:rsidP="00E67FD1">
      <w:pPr>
        <w:pStyle w:val="itemList"/>
        <w:spacing w:line="360" w:lineRule="auto"/>
        <w:jc w:val="both"/>
        <w:rPr>
          <w:rFonts w:asciiTheme="minorHAnsi" w:hAnsiTheme="minorHAnsi" w:cstheme="minorHAnsi"/>
          <w:sz w:val="24"/>
          <w:szCs w:val="24"/>
          <w:lang w:val="el-GR"/>
        </w:rPr>
      </w:pPr>
      <w:r w:rsidRPr="00E67FD1">
        <w:rPr>
          <w:rFonts w:asciiTheme="minorHAnsi" w:hAnsiTheme="minorHAnsi" w:cstheme="minorHAnsi"/>
          <w:sz w:val="24"/>
          <w:szCs w:val="24"/>
          <w:lang w:val="el-GR"/>
        </w:rPr>
        <w:t>1.</w:t>
      </w:r>
      <w:r w:rsidRPr="00E67FD1">
        <w:rPr>
          <w:rFonts w:asciiTheme="minorHAnsi" w:hAnsiTheme="minorHAnsi" w:cstheme="minorHAnsi"/>
          <w:sz w:val="24"/>
          <w:szCs w:val="24"/>
          <w:lang w:val="el-GR"/>
        </w:rPr>
        <w:tab/>
        <w:t>οδηγεί σε σύγκρουση οικονομικών συμφερόντων καθώς η εταιρία θα καθορίζει ειδικές κατευθυντήριες γραμμές ανά τομέα με τις οποίες θα πρέπει να συμμορφώνεται;</w:t>
      </w:r>
    </w:p>
    <w:p w:rsidR="00E67FD1" w:rsidRPr="00E67FD1" w:rsidRDefault="00E67FD1" w:rsidP="00E67FD1">
      <w:pPr>
        <w:pStyle w:val="itemList"/>
        <w:spacing w:line="360" w:lineRule="auto"/>
        <w:jc w:val="both"/>
        <w:rPr>
          <w:rFonts w:asciiTheme="minorHAnsi" w:hAnsiTheme="minorHAnsi" w:cstheme="minorHAnsi"/>
          <w:sz w:val="24"/>
          <w:szCs w:val="24"/>
          <w:lang w:val="el-GR"/>
        </w:rPr>
      </w:pPr>
      <w:r w:rsidRPr="00E67FD1">
        <w:rPr>
          <w:rFonts w:asciiTheme="minorHAnsi" w:hAnsiTheme="minorHAnsi" w:cstheme="minorHAnsi"/>
          <w:sz w:val="24"/>
          <w:szCs w:val="24"/>
          <w:lang w:val="el-GR"/>
        </w:rPr>
        <w:t>2.</w:t>
      </w:r>
      <w:r w:rsidRPr="00E67FD1">
        <w:rPr>
          <w:rFonts w:asciiTheme="minorHAnsi" w:hAnsiTheme="minorHAnsi" w:cstheme="minorHAnsi"/>
          <w:sz w:val="24"/>
          <w:szCs w:val="24"/>
          <w:lang w:val="el-GR"/>
        </w:rPr>
        <w:tab/>
        <w:t>παρέχει σε μια αμερικανική εταιρία σημαντικό περιθώριο να επηρεάσει νόμους της ΕΕ;</w:t>
      </w:r>
    </w:p>
    <w:p w:rsidR="00E67FD1" w:rsidRPr="00E67FD1" w:rsidRDefault="00E67FD1" w:rsidP="00E67FD1">
      <w:pPr>
        <w:pStyle w:val="itemList"/>
        <w:spacing w:line="360" w:lineRule="auto"/>
        <w:jc w:val="both"/>
        <w:rPr>
          <w:rFonts w:asciiTheme="minorHAnsi" w:hAnsiTheme="minorHAnsi" w:cstheme="minorHAnsi"/>
          <w:sz w:val="24"/>
          <w:szCs w:val="24"/>
          <w:lang w:val="el-GR"/>
        </w:rPr>
      </w:pPr>
      <w:r w:rsidRPr="00E67FD1">
        <w:rPr>
          <w:rFonts w:asciiTheme="minorHAnsi" w:hAnsiTheme="minorHAnsi" w:cstheme="minorHAnsi"/>
          <w:sz w:val="24"/>
          <w:szCs w:val="24"/>
          <w:lang w:val="el-GR"/>
        </w:rPr>
        <w:t>3.</w:t>
      </w:r>
      <w:r w:rsidRPr="00E67FD1">
        <w:rPr>
          <w:rFonts w:asciiTheme="minorHAnsi" w:hAnsiTheme="minorHAnsi" w:cstheme="minorHAnsi"/>
          <w:sz w:val="24"/>
          <w:szCs w:val="24"/>
          <w:lang w:val="el-GR"/>
        </w:rPr>
        <w:tab/>
        <w:t>θέτει σε κίνδυνο τη δίκαιη εφαρμογή της Πράσινης Συμφωνίας στον χρηματοοικονομικό τομέα;</w:t>
      </w:r>
    </w:p>
    <w:p w:rsidR="009543A7" w:rsidRDefault="009543A7" w:rsidP="009543A7">
      <w:pPr>
        <w:spacing w:line="360" w:lineRule="auto"/>
        <w:jc w:val="both"/>
        <w:rPr>
          <w:lang w:val="el-GR"/>
        </w:rPr>
      </w:pPr>
    </w:p>
    <w:p w:rsidR="00E67FD1" w:rsidRPr="00E67FD1" w:rsidRDefault="00E67FD1" w:rsidP="00E67FD1">
      <w:pPr>
        <w:spacing w:line="360" w:lineRule="auto"/>
        <w:jc w:val="both"/>
        <w:rPr>
          <w:rFonts w:cstheme="minorHAnsi"/>
          <w:b/>
          <w:bCs/>
          <w:i/>
          <w:iCs/>
          <w:lang w:val="el-GR"/>
        </w:rPr>
      </w:pPr>
      <w:r w:rsidRPr="00E67FD1">
        <w:rPr>
          <w:rFonts w:cstheme="minorHAnsi"/>
          <w:b/>
          <w:bCs/>
          <w:i/>
          <w:iCs/>
          <w:lang w:val="el-GR"/>
        </w:rPr>
        <w:t>Απάντηση του εκτελεστικού αντιπροέδρου κ.</w:t>
      </w:r>
      <w:r w:rsidRPr="00E67FD1">
        <w:rPr>
          <w:rFonts w:cstheme="minorHAnsi"/>
          <w:b/>
          <w:bCs/>
          <w:i/>
          <w:iCs/>
        </w:rPr>
        <w:t> </w:t>
      </w:r>
      <w:r w:rsidRPr="00E67FD1">
        <w:rPr>
          <w:rFonts w:cstheme="minorHAnsi"/>
          <w:b/>
          <w:bCs/>
          <w:i/>
          <w:iCs/>
          <w:lang w:val="el-GR"/>
        </w:rPr>
        <w:t xml:space="preserve">Ντομπρόβσκις εξ ονόματος της Ευρωπαϊκής Επιτροπής </w:t>
      </w:r>
    </w:p>
    <w:p w:rsidR="00E67FD1" w:rsidRPr="00E67FD1" w:rsidRDefault="00E67FD1" w:rsidP="00E67FD1">
      <w:pPr>
        <w:spacing w:line="360" w:lineRule="auto"/>
        <w:jc w:val="both"/>
        <w:rPr>
          <w:rFonts w:cstheme="minorHAnsi"/>
          <w:lang w:val="el-GR"/>
        </w:rPr>
      </w:pPr>
    </w:p>
    <w:p w:rsidR="00E67FD1" w:rsidRPr="00E67FD1" w:rsidRDefault="00E67FD1" w:rsidP="00E67FD1">
      <w:pPr>
        <w:tabs>
          <w:tab w:val="left" w:pos="9739"/>
        </w:tabs>
        <w:spacing w:line="360" w:lineRule="auto"/>
        <w:jc w:val="both"/>
        <w:rPr>
          <w:rFonts w:eastAsia="Calibri" w:cstheme="minorHAnsi"/>
          <w:lang w:val="el-GR"/>
        </w:rPr>
      </w:pPr>
      <w:r w:rsidRPr="00E67FD1">
        <w:rPr>
          <w:rFonts w:cstheme="minorHAnsi"/>
          <w:lang w:val="el-GR"/>
        </w:rPr>
        <w:lastRenderedPageBreak/>
        <w:t xml:space="preserve">Από το 2016 η Επιτροπή προωθεί ενεργά το πρόγραμμα βιώσιμης χρηματοδότησης, το οποίο βοήθησε την Ευρωπαϊκή Ένωση να καταστεί πρωτοπόρος σε παγκόσμιο επίπεδο στον τομέα αυτό. Η Επιτροπή θα συνεχίσει να προωθεί αυτό το πρόγραμμα στην Ευρώπη και παγκοσμίως. Στόχος της ΕΕ είναι να προχωρήσει με ταχείς ρυθμούς αλλά και με αξιόπιστο τρόπο. Για τον λόγο αυτό, οι πολιτικές της ΕΕ πρέπει να υποστηρίζονται από εμπεριστατωμένες επιστημονικές εργασίες και μελέτες. Μεταξύ πολλών εκθέσεων που η Επιτροπή έχει αναθέσει για τον καθορισμό των επόμενων βημάτων για τη βιώσιμη χρηματοδότηση, περιλαμβάνεται μια μελέτη που ανατέθηκε στην </w:t>
      </w:r>
      <w:r w:rsidRPr="00E67FD1">
        <w:rPr>
          <w:rFonts w:cstheme="minorHAnsi"/>
        </w:rPr>
        <w:t>BlackRock</w:t>
      </w:r>
      <w:r w:rsidRPr="00E67FD1">
        <w:rPr>
          <w:rFonts w:cstheme="minorHAnsi"/>
          <w:lang w:val="el-GR"/>
        </w:rPr>
        <w:t xml:space="preserve">. </w:t>
      </w:r>
    </w:p>
    <w:p w:rsidR="00E67FD1" w:rsidRPr="00E67FD1" w:rsidRDefault="00E67FD1" w:rsidP="00E67FD1">
      <w:pPr>
        <w:tabs>
          <w:tab w:val="left" w:pos="9739"/>
        </w:tabs>
        <w:spacing w:line="360" w:lineRule="auto"/>
        <w:jc w:val="both"/>
        <w:rPr>
          <w:rFonts w:eastAsia="Calibri" w:cstheme="minorHAnsi"/>
          <w:sz w:val="16"/>
          <w:szCs w:val="16"/>
          <w:lang w:val="el-GR"/>
        </w:rPr>
      </w:pPr>
    </w:p>
    <w:p w:rsidR="00E67FD1" w:rsidRPr="00E67FD1" w:rsidRDefault="00E67FD1" w:rsidP="00E67FD1">
      <w:pPr>
        <w:tabs>
          <w:tab w:val="left" w:pos="9739"/>
        </w:tabs>
        <w:spacing w:line="360" w:lineRule="auto"/>
        <w:jc w:val="both"/>
        <w:rPr>
          <w:rFonts w:cstheme="minorHAnsi"/>
          <w:lang w:val="el-GR"/>
        </w:rPr>
      </w:pPr>
      <w:r w:rsidRPr="00E67FD1">
        <w:rPr>
          <w:rFonts w:cstheme="minorHAnsi"/>
          <w:lang w:val="el-GR"/>
        </w:rPr>
        <w:t>Μια επιτροπή αποτελούμενη από πέντε μέλη από διάφορες Γενικές Διευθύνσεις της Επιτροπής αξιολόγησε τις εννέα προσφορές που υποβλήθηκαν για την εν λόγω μελέτη. Σύμφωνα με τους κανόνες προστασίας δεδομένων που ισχύουν για τα θεσμικά όργανα της ΕΕ</w:t>
      </w:r>
      <w:r w:rsidRPr="00E67FD1">
        <w:rPr>
          <w:rStyle w:val="a7"/>
          <w:rFonts w:eastAsia="Calibri" w:cstheme="minorHAnsi"/>
        </w:rPr>
        <w:footnoteReference w:id="2"/>
      </w:r>
      <w:r w:rsidRPr="00E67FD1">
        <w:rPr>
          <w:rFonts w:cstheme="minorHAnsi"/>
          <w:lang w:val="el-GR"/>
        </w:rPr>
        <w:t>, η Επιτροπή δεν είναι σε θέση να δημοσιοποιήσει τα ονόματα και τα άλλα προσωπικά δεδομένα των μελών της επιτροπής αξιολόγησης.</w:t>
      </w:r>
    </w:p>
    <w:p w:rsidR="00E67FD1" w:rsidRPr="00E67FD1" w:rsidRDefault="00E67FD1" w:rsidP="00E67FD1">
      <w:pPr>
        <w:tabs>
          <w:tab w:val="left" w:pos="9739"/>
        </w:tabs>
        <w:spacing w:line="360" w:lineRule="auto"/>
        <w:jc w:val="both"/>
        <w:rPr>
          <w:rFonts w:cstheme="minorHAnsi"/>
          <w:sz w:val="16"/>
          <w:szCs w:val="16"/>
          <w:lang w:val="el-GR"/>
        </w:rPr>
      </w:pPr>
    </w:p>
    <w:p w:rsidR="00E67FD1" w:rsidRPr="00E67FD1" w:rsidRDefault="00E67FD1" w:rsidP="00E67FD1">
      <w:pPr>
        <w:tabs>
          <w:tab w:val="left" w:pos="9739"/>
        </w:tabs>
        <w:spacing w:line="360" w:lineRule="auto"/>
        <w:jc w:val="both"/>
        <w:rPr>
          <w:rFonts w:eastAsia="Calibri" w:cstheme="minorHAnsi"/>
          <w:lang w:val="el-GR"/>
        </w:rPr>
      </w:pPr>
      <w:r w:rsidRPr="00E67FD1">
        <w:rPr>
          <w:rFonts w:cstheme="minorHAnsi"/>
          <w:lang w:val="el-GR"/>
        </w:rPr>
        <w:t>Σύμφωνα με τους κανόνες του δημοσιονομικού κανονισμού, η ανάθεση της σύμβασης έγινε με κριτήριο την «καλύτερη σχέση τιμής-ποιότητας». Οι πίνακες στο παράρτημα παρέχουν αναλυτικές βαθμολογίες για τις επτά προσφορές που κρίθηκαν σύμφωνες με τις ελάχιστες απαιτήσεις της συγγραφής υποχρεώσεων, ενώ παράλληλα προστατεύουν τα ονόματα των απορριφθέντων προσφερόντων για εμπορικούς λόγους.</w:t>
      </w:r>
    </w:p>
    <w:p w:rsidR="00E67FD1" w:rsidRPr="00E67FD1" w:rsidRDefault="00E67FD1" w:rsidP="00E67FD1">
      <w:pPr>
        <w:tabs>
          <w:tab w:val="left" w:pos="9739"/>
        </w:tabs>
        <w:spacing w:line="360" w:lineRule="auto"/>
        <w:jc w:val="both"/>
        <w:rPr>
          <w:rFonts w:eastAsia="Calibri" w:cstheme="minorHAnsi"/>
          <w:sz w:val="16"/>
          <w:szCs w:val="16"/>
          <w:lang w:val="el-GR"/>
        </w:rPr>
      </w:pPr>
    </w:p>
    <w:p w:rsidR="00E67FD1" w:rsidRPr="00E67FD1" w:rsidRDefault="00E67FD1" w:rsidP="00E67FD1">
      <w:pPr>
        <w:spacing w:line="360" w:lineRule="auto"/>
        <w:jc w:val="both"/>
        <w:rPr>
          <w:rFonts w:cstheme="minorHAnsi"/>
          <w:lang w:val="el-GR"/>
        </w:rPr>
      </w:pPr>
      <w:r w:rsidRPr="00E67FD1">
        <w:rPr>
          <w:rFonts w:cstheme="minorHAnsi"/>
          <w:lang w:val="el-GR"/>
        </w:rPr>
        <w:t xml:space="preserve">Δεδομένου ότι η τιμή που προσέφερε η </w:t>
      </w:r>
      <w:r w:rsidRPr="00E67FD1">
        <w:rPr>
          <w:rFonts w:cstheme="minorHAnsi"/>
        </w:rPr>
        <w:t>BlackRock</w:t>
      </w:r>
      <w:r w:rsidRPr="00E67FD1">
        <w:rPr>
          <w:rFonts w:cstheme="minorHAnsi"/>
          <w:lang w:val="el-GR"/>
        </w:rPr>
        <w:t xml:space="preserve"> ήταν σημαντικά χαμηλότερη από τη μέγιστη αξία της μελέτης που είχε καθορίσει η Επιτροπή, σύμφωνα με τις διατάξεις του δημοσιονομικού κανονισμού που αφορούν τις τιμές που φαίνονται ασυνήθιστα χαμηλές, η Επιτροπή ζήτησε από την εταιρία </w:t>
      </w:r>
      <w:r w:rsidRPr="00E67FD1">
        <w:rPr>
          <w:rFonts w:cstheme="minorHAnsi"/>
        </w:rPr>
        <w:t>BlackRock</w:t>
      </w:r>
      <w:r w:rsidRPr="00E67FD1">
        <w:rPr>
          <w:rFonts w:cstheme="minorHAnsi"/>
          <w:lang w:val="el-GR"/>
        </w:rPr>
        <w:t xml:space="preserve"> να παράσχει πρόσθετες πληροφορίες σχετικά με την τιμή που προσέφερε. Ο διατάκτης δεν εντόπισε στις εξηγήσεις που παρασχέθηκαν κανένα στοιχείο βάσει του οποίου η προσφορά της </w:t>
      </w:r>
      <w:r w:rsidRPr="00E67FD1">
        <w:rPr>
          <w:rFonts w:cstheme="minorHAnsi"/>
        </w:rPr>
        <w:t>BlackRock</w:t>
      </w:r>
      <w:r w:rsidRPr="00E67FD1">
        <w:rPr>
          <w:rFonts w:cstheme="minorHAnsi"/>
          <w:lang w:val="el-GR"/>
        </w:rPr>
        <w:t xml:space="preserve"> θα μπορούσε να θεωρηθεί ασυνήθιστα χαμηλή ή να αμφισβητηθεί η ικανότητα του προσφέροντος να παράσχει τις προτεινόμενες υπηρεσίες ποιότητας. </w:t>
      </w:r>
    </w:p>
    <w:p w:rsidR="00E67FD1" w:rsidRPr="00E67FD1" w:rsidRDefault="00E67FD1" w:rsidP="00E67FD1">
      <w:pPr>
        <w:spacing w:line="360" w:lineRule="auto"/>
        <w:jc w:val="both"/>
        <w:rPr>
          <w:rFonts w:cstheme="minorHAnsi"/>
          <w:sz w:val="16"/>
          <w:szCs w:val="16"/>
          <w:lang w:val="el-GR"/>
        </w:rPr>
      </w:pPr>
    </w:p>
    <w:p w:rsidR="00E67FD1" w:rsidRPr="00E67FD1" w:rsidRDefault="00E67FD1" w:rsidP="00E67FD1">
      <w:pPr>
        <w:spacing w:line="360" w:lineRule="auto"/>
        <w:jc w:val="both"/>
        <w:rPr>
          <w:rFonts w:cstheme="minorHAnsi"/>
          <w:lang w:val="el-GR"/>
        </w:rPr>
      </w:pPr>
      <w:r w:rsidRPr="00E67FD1">
        <w:rPr>
          <w:rFonts w:cstheme="minorHAnsi"/>
          <w:lang w:val="el-GR"/>
        </w:rPr>
        <w:lastRenderedPageBreak/>
        <w:t xml:space="preserve">Η επιτροπή αξιολόγησης, εισηγούμενη την ανάθεση της σύμβασης στην </w:t>
      </w:r>
      <w:r w:rsidRPr="00E67FD1">
        <w:rPr>
          <w:rFonts w:cstheme="minorHAnsi"/>
        </w:rPr>
        <w:t>BlackRock</w:t>
      </w:r>
      <w:r w:rsidRPr="00E67FD1">
        <w:rPr>
          <w:rFonts w:cstheme="minorHAnsi"/>
          <w:lang w:val="el-GR"/>
        </w:rPr>
        <w:t xml:space="preserve">, έδωσε ιδιαίτερη προσοχή σε ενδεχόμενα συγκρουόμενα επαγγελματικά συμφέροντα και εφάρμοσε σχολαστικά τις σχετικές διατάξεις του δημοσιονομικού κανονισμού. Λαμβάνοντας υπόψη τα ειδικά καθήκοντα που πρέπει να εκτελεστούν στο πλαίσιο της εν λόγω μελέτης, η επιτροπή αξιολόγησης δεν εντόπισε συγκρουόμενα επαγγελματικά συμφέροντα μεταξύ των καθηκόντων της ανάδοχης εταιρίας και των τρεχουσών επενδυτικών πρακτικών της. </w:t>
      </w:r>
    </w:p>
    <w:p w:rsidR="00E67FD1" w:rsidRPr="00E67FD1" w:rsidRDefault="00E67FD1" w:rsidP="00E67FD1">
      <w:pPr>
        <w:spacing w:line="360" w:lineRule="auto"/>
        <w:jc w:val="both"/>
        <w:rPr>
          <w:rFonts w:cstheme="minorHAnsi"/>
          <w:sz w:val="16"/>
          <w:szCs w:val="16"/>
          <w:lang w:val="el-GR"/>
        </w:rPr>
      </w:pPr>
    </w:p>
    <w:p w:rsidR="00E67FD1" w:rsidRPr="00E67FD1" w:rsidRDefault="00E67FD1" w:rsidP="00E67FD1">
      <w:pPr>
        <w:tabs>
          <w:tab w:val="left" w:pos="9739"/>
        </w:tabs>
        <w:spacing w:line="360" w:lineRule="auto"/>
        <w:jc w:val="both"/>
        <w:rPr>
          <w:rFonts w:eastAsia="Calibri" w:cstheme="minorHAnsi"/>
          <w:lang w:val="el-GR"/>
        </w:rPr>
      </w:pPr>
      <w:r w:rsidRPr="00E67FD1">
        <w:rPr>
          <w:rFonts w:cstheme="minorHAnsi"/>
          <w:lang w:val="el-GR"/>
        </w:rPr>
        <w:t xml:space="preserve">Ο ρόλος της Επιτροπής είναι, μετά από διαβούλευση με όλα τα ενδιαφερόμενα μέρη, να αναπτύσσει εργαλεία και μηχανισμούς για την ενσωμάτωση των περιβαλλοντικών, κοινωνικών και σχετικών με τη διακυβέρνηση (ΠΚΔ) παραγόντων στο πλαίσιο της προληπτικής εποπτείας της ΕΕ για τις τράπεζες, καθώς και στις επιχειρηματικές στρατηγικές και τις επενδυτικές πολιτικές των τραπεζών. Σκοπός της μελέτης που ανατέθηκε στη </w:t>
      </w:r>
      <w:r w:rsidRPr="00E67FD1">
        <w:rPr>
          <w:rFonts w:cstheme="minorHAnsi"/>
        </w:rPr>
        <w:t>BlackRock</w:t>
      </w:r>
      <w:r w:rsidRPr="00E67FD1">
        <w:rPr>
          <w:rFonts w:cstheme="minorHAnsi"/>
          <w:lang w:val="el-GR"/>
        </w:rPr>
        <w:t xml:space="preserve"> είναι να προσδιορίσει την κατάσταση και τις δυσκολίες που επικρατούν, πράγμα που αποτελεί το πρώτο βήμα για την ανάπτυξη των μελλοντικών εργαλείων και μηχανισμών.</w:t>
      </w:r>
    </w:p>
    <w:p w:rsidR="00E67FD1" w:rsidRPr="00E67FD1" w:rsidRDefault="00E67FD1" w:rsidP="00E67FD1">
      <w:pPr>
        <w:tabs>
          <w:tab w:val="left" w:pos="9739"/>
        </w:tabs>
        <w:spacing w:line="360" w:lineRule="auto"/>
        <w:jc w:val="both"/>
        <w:rPr>
          <w:rFonts w:cstheme="minorHAnsi"/>
          <w:iCs/>
          <w:sz w:val="16"/>
          <w:szCs w:val="16"/>
          <w:lang w:val="el-GR"/>
        </w:rPr>
      </w:pPr>
    </w:p>
    <w:p w:rsidR="00E67FD1" w:rsidRPr="00E67FD1" w:rsidRDefault="00E67FD1" w:rsidP="00E67FD1">
      <w:pPr>
        <w:tabs>
          <w:tab w:val="left" w:pos="9739"/>
        </w:tabs>
        <w:spacing w:line="360" w:lineRule="auto"/>
        <w:jc w:val="both"/>
        <w:rPr>
          <w:rFonts w:eastAsia="Calibri" w:cstheme="minorHAnsi"/>
          <w:lang w:val="el-GR"/>
        </w:rPr>
      </w:pPr>
      <w:r w:rsidRPr="00E67FD1">
        <w:rPr>
          <w:rFonts w:cstheme="minorHAnsi"/>
          <w:iCs/>
          <w:lang w:val="el-GR"/>
        </w:rPr>
        <w:t xml:space="preserve">Η Επιτροπή δεν είχε βάσιμους λόγους να ακυρώσει τον εν λόγω διαγωνισμό (όπως, για παράδειγμα, τον εντοπισμό σφάλματος, παρατυπιών ή απάτης στη διαδικασία του διαγωνισμού). Όταν ένας προσφέρων πληροί όλα τα κριτήρια αποκλεισμού, επιλογής και ανάθεσης (όπως τα πληρούσε η </w:t>
      </w:r>
      <w:r w:rsidRPr="00E67FD1">
        <w:rPr>
          <w:rFonts w:cstheme="minorHAnsi"/>
          <w:iCs/>
        </w:rPr>
        <w:t>BlackRock</w:t>
      </w:r>
      <w:r w:rsidRPr="00E67FD1">
        <w:rPr>
          <w:rFonts w:cstheme="minorHAnsi"/>
          <w:iCs/>
          <w:lang w:val="el-GR"/>
        </w:rPr>
        <w:t>), δεν υπάρχει νομική βάση στον δημοσιονομικό κανονισμό δυνάμει της οποίας η Επιτροπή θα μπορούσε να αρνηθεί να υπογράψει τη σύμβαση με τον επιλεγέντα προσφέροντα, εκτός εάν αποφάσιζε να ακυρώσει ολόκληρο τον διαγωνισμό</w:t>
      </w:r>
      <w:r w:rsidRPr="00E67FD1">
        <w:rPr>
          <w:rFonts w:cstheme="minorHAnsi"/>
          <w:lang w:val="el-GR"/>
        </w:rPr>
        <w:t xml:space="preserve">. </w:t>
      </w:r>
    </w:p>
    <w:p w:rsidR="00E67FD1" w:rsidRPr="00E67FD1" w:rsidRDefault="00E67FD1" w:rsidP="00E67FD1">
      <w:pPr>
        <w:tabs>
          <w:tab w:val="left" w:pos="9739"/>
        </w:tabs>
        <w:spacing w:line="360" w:lineRule="auto"/>
        <w:jc w:val="both"/>
        <w:rPr>
          <w:rFonts w:eastAsia="Calibri" w:cstheme="minorHAnsi"/>
          <w:sz w:val="16"/>
          <w:szCs w:val="16"/>
          <w:lang w:val="el-GR"/>
        </w:rPr>
      </w:pPr>
    </w:p>
    <w:p w:rsidR="00E67FD1" w:rsidRPr="00E67FD1" w:rsidRDefault="00E67FD1" w:rsidP="00E67FD1">
      <w:pPr>
        <w:spacing w:line="360" w:lineRule="auto"/>
        <w:jc w:val="both"/>
        <w:rPr>
          <w:rFonts w:cstheme="minorHAnsi"/>
          <w:lang w:val="el-GR"/>
        </w:rPr>
      </w:pPr>
      <w:r w:rsidRPr="00E67FD1">
        <w:rPr>
          <w:rFonts w:cstheme="minorHAnsi"/>
          <w:lang w:val="el-GR"/>
        </w:rPr>
        <w:t xml:space="preserve">Παρόλα αυτά, η Επιτροπή θα συνεχίσει να επαγρυπνεί και θα παρακολουθεί εκ του σύνεγγυς την πρόοδο της μελέτης. Η Επιτροπή είναι έτοιμη να καταγγείλει τη σύμβαση με την ανάδοχο εταιρία σε περίπτωση που αυτή δεν τηρήσει σχολαστικά τις διατάξεις της σύμβασης. Η Επιτροπή θα αποδεχτεί την τελική έκθεση της </w:t>
      </w:r>
      <w:r w:rsidRPr="00E67FD1">
        <w:rPr>
          <w:rFonts w:cstheme="minorHAnsi"/>
        </w:rPr>
        <w:t>BlackRock</w:t>
      </w:r>
      <w:r w:rsidRPr="00E67FD1">
        <w:rPr>
          <w:rFonts w:cstheme="minorHAnsi"/>
          <w:lang w:val="el-GR"/>
        </w:rPr>
        <w:t xml:space="preserve"> μόνον εφόσον είναι σύμφωνη με όλους τους όρους και τις προϋποθέσεις της σύμβασης. Η τελική έκθεση θα δημοσιοποιηθεί και θα υποβληθεί σε δημόσιο έλεγχο.</w:t>
      </w:r>
    </w:p>
    <w:p w:rsidR="00E67FD1" w:rsidRPr="00E67FD1" w:rsidRDefault="00E67FD1" w:rsidP="00E67FD1">
      <w:pPr>
        <w:spacing w:line="360" w:lineRule="auto"/>
        <w:jc w:val="both"/>
        <w:rPr>
          <w:rFonts w:cstheme="minorHAnsi"/>
          <w:sz w:val="16"/>
          <w:szCs w:val="16"/>
          <w:lang w:val="el-GR"/>
        </w:rPr>
      </w:pPr>
    </w:p>
    <w:p w:rsidR="00E67FD1" w:rsidRPr="00E67FD1" w:rsidRDefault="00E67FD1" w:rsidP="00E67FD1">
      <w:pPr>
        <w:spacing w:line="360" w:lineRule="auto"/>
        <w:jc w:val="both"/>
        <w:rPr>
          <w:rFonts w:cstheme="minorHAnsi"/>
          <w:lang w:val="el-GR"/>
        </w:rPr>
      </w:pPr>
      <w:r w:rsidRPr="00E67FD1">
        <w:rPr>
          <w:rFonts w:cstheme="minorHAnsi"/>
          <w:lang w:val="el-GR"/>
        </w:rPr>
        <w:lastRenderedPageBreak/>
        <w:t xml:space="preserve">Για περισσότερες λεπτομέρειες σχετικά με τη διαδικασία που ακολουθήθηκε για την ανάθεση της σύμβασης στη </w:t>
      </w:r>
      <w:r w:rsidRPr="00E67FD1">
        <w:rPr>
          <w:rFonts w:cstheme="minorHAnsi"/>
        </w:rPr>
        <w:t>BlackRock</w:t>
      </w:r>
      <w:r w:rsidRPr="00E67FD1">
        <w:rPr>
          <w:rFonts w:cstheme="minorHAnsi"/>
          <w:lang w:val="el-GR"/>
        </w:rPr>
        <w:t>, η Επιτροπή καλεί τα αξιότιμα μέλη του Κοινοβουλίου να λάβουν γνώση της λεπτομερούς επεξήγησης που συνέταξαν οι υπηρεσίες της Επιτροπής</w:t>
      </w:r>
      <w:r w:rsidRPr="00E67FD1">
        <w:rPr>
          <w:rStyle w:val="a7"/>
          <w:rFonts w:cstheme="minorHAnsi"/>
        </w:rPr>
        <w:footnoteReference w:id="3"/>
      </w:r>
      <w:r w:rsidRPr="00E67FD1">
        <w:rPr>
          <w:rFonts w:cstheme="minorHAnsi"/>
          <w:color w:val="1F497D"/>
          <w:lang w:val="el-GR"/>
        </w:rPr>
        <w:t xml:space="preserve">. </w:t>
      </w:r>
    </w:p>
    <w:p w:rsidR="00E67FD1" w:rsidRPr="00E67FD1" w:rsidRDefault="00E67FD1" w:rsidP="00E67FD1">
      <w:pPr>
        <w:spacing w:line="360" w:lineRule="auto"/>
        <w:jc w:val="both"/>
        <w:rPr>
          <w:rFonts w:cstheme="minorHAnsi"/>
          <w:lang w:val="el-GR"/>
        </w:rPr>
      </w:pPr>
    </w:p>
    <w:p w:rsidR="00E67FD1" w:rsidRPr="00E3677D" w:rsidRDefault="00E67FD1" w:rsidP="00E67FD1">
      <w:pPr>
        <w:spacing w:line="360" w:lineRule="auto"/>
        <w:jc w:val="both"/>
        <w:rPr>
          <w:b/>
        </w:rPr>
      </w:pPr>
      <w:r>
        <w:rPr>
          <w:b/>
        </w:rPr>
        <w:t>Annex to joint reply P-2277/20</w:t>
      </w:r>
    </w:p>
    <w:p w:rsidR="00E67FD1" w:rsidRPr="00E3677D" w:rsidRDefault="00E67FD1" w:rsidP="00E67FD1">
      <w:pPr>
        <w:spacing w:line="360" w:lineRule="auto"/>
        <w:jc w:val="both"/>
        <w:rPr>
          <w:b/>
        </w:rPr>
      </w:pPr>
      <w:r w:rsidRPr="00E3677D">
        <w:rPr>
          <w:b/>
        </w:rPr>
        <w:t xml:space="preserve">TECHNICAL SCORE (QUALITY): </w:t>
      </w:r>
    </w:p>
    <w:p w:rsidR="00E67FD1" w:rsidRDefault="00E67FD1" w:rsidP="009543A7">
      <w:pPr>
        <w:spacing w:line="360" w:lineRule="auto"/>
        <w:jc w:val="both"/>
        <w:rPr>
          <w:rFonts w:cstheme="minorHAnsi"/>
          <w:lang w:val="el-GR"/>
        </w:rPr>
      </w:pPr>
    </w:p>
    <w:tbl>
      <w:tblPr>
        <w:tblW w:w="9286" w:type="dxa"/>
        <w:tblCellMar>
          <w:left w:w="107" w:type="dxa"/>
          <w:right w:w="48" w:type="dxa"/>
        </w:tblCellMar>
        <w:tblLook w:val="04A0"/>
      </w:tblPr>
      <w:tblGrid>
        <w:gridCol w:w="523"/>
        <w:gridCol w:w="3307"/>
        <w:gridCol w:w="981"/>
        <w:gridCol w:w="639"/>
        <w:gridCol w:w="489"/>
        <w:gridCol w:w="561"/>
        <w:gridCol w:w="559"/>
        <w:gridCol w:w="715"/>
        <w:gridCol w:w="662"/>
        <w:gridCol w:w="850"/>
      </w:tblGrid>
      <w:tr w:rsidR="00E67FD1" w:rsidRPr="00E67FD1" w:rsidTr="00E67FD1">
        <w:trPr>
          <w:trHeight w:val="1106"/>
        </w:trPr>
        <w:tc>
          <w:tcPr>
            <w:tcW w:w="523" w:type="dxa"/>
            <w:tcBorders>
              <w:top w:val="single" w:sz="4" w:space="0" w:color="000000"/>
              <w:left w:val="single" w:sz="4" w:space="0" w:color="000000"/>
              <w:bottom w:val="single" w:sz="4" w:space="0" w:color="000000"/>
              <w:right w:val="single" w:sz="4" w:space="0" w:color="000000"/>
            </w:tcBorders>
            <w:shd w:val="clear" w:color="auto" w:fill="E5E5E5"/>
          </w:tcPr>
          <w:p w:rsidR="00E67FD1" w:rsidRPr="00E67FD1" w:rsidRDefault="00E67FD1" w:rsidP="00E67FD1">
            <w:pPr>
              <w:spacing w:line="276" w:lineRule="auto"/>
              <w:rPr>
                <w:rFonts w:cstheme="minorHAnsi"/>
              </w:rPr>
            </w:pPr>
          </w:p>
        </w:tc>
        <w:tc>
          <w:tcPr>
            <w:tcW w:w="3307" w:type="dxa"/>
            <w:tcBorders>
              <w:top w:val="single" w:sz="4" w:space="0" w:color="000000"/>
              <w:left w:val="single" w:sz="4" w:space="0" w:color="000000"/>
              <w:bottom w:val="single" w:sz="4" w:space="0" w:color="000000"/>
              <w:right w:val="single" w:sz="4" w:space="0" w:color="000000"/>
            </w:tcBorders>
            <w:shd w:val="clear" w:color="auto" w:fill="E5E5E5"/>
          </w:tcPr>
          <w:p w:rsidR="00655FD1" w:rsidRDefault="00E67FD1" w:rsidP="00E67FD1">
            <w:pPr>
              <w:spacing w:line="276" w:lineRule="auto"/>
              <w:rPr>
                <w:rFonts w:cstheme="minorHAnsi"/>
              </w:rPr>
            </w:pPr>
            <w:r w:rsidRPr="00E67FD1">
              <w:rPr>
                <w:rFonts w:cstheme="minorHAnsi"/>
              </w:rPr>
              <w:t xml:space="preserve">Criterion </w:t>
            </w:r>
          </w:p>
          <w:p w:rsidR="00655FD1" w:rsidRDefault="00655FD1" w:rsidP="00655FD1">
            <w:pPr>
              <w:rPr>
                <w:rFonts w:cstheme="minorHAnsi"/>
              </w:rPr>
            </w:pPr>
          </w:p>
          <w:p w:rsidR="00E67FD1" w:rsidRPr="00655FD1" w:rsidRDefault="00E67FD1" w:rsidP="00655FD1">
            <w:pPr>
              <w:jc w:val="right"/>
              <w:rPr>
                <w:rFonts w:cstheme="minorHAnsi"/>
              </w:rPr>
            </w:pPr>
          </w:p>
        </w:tc>
        <w:tc>
          <w:tcPr>
            <w:tcW w:w="981" w:type="dxa"/>
            <w:tcBorders>
              <w:top w:val="single" w:sz="4" w:space="0" w:color="000000"/>
              <w:left w:val="single" w:sz="4" w:space="0" w:color="000000"/>
              <w:bottom w:val="single" w:sz="4" w:space="0" w:color="000000"/>
              <w:right w:val="single" w:sz="4" w:space="0" w:color="000000"/>
            </w:tcBorders>
            <w:shd w:val="clear" w:color="auto" w:fill="E5E5E5"/>
          </w:tcPr>
          <w:p w:rsidR="00E67FD1" w:rsidRPr="00E67FD1" w:rsidRDefault="00E67FD1" w:rsidP="00E67FD1">
            <w:pPr>
              <w:spacing w:line="276" w:lineRule="auto"/>
              <w:rPr>
                <w:rFonts w:cstheme="minorHAnsi"/>
              </w:rPr>
            </w:pPr>
            <w:r w:rsidRPr="00E67FD1">
              <w:rPr>
                <w:rFonts w:cstheme="minorHAnsi"/>
              </w:rPr>
              <w:t xml:space="preserve">Max. </w:t>
            </w:r>
          </w:p>
          <w:p w:rsidR="00E67FD1" w:rsidRPr="00E67FD1" w:rsidRDefault="00E67FD1" w:rsidP="00E67FD1">
            <w:pPr>
              <w:spacing w:line="276" w:lineRule="auto"/>
              <w:rPr>
                <w:rFonts w:cstheme="minorHAnsi"/>
              </w:rPr>
            </w:pPr>
            <w:r w:rsidRPr="00E67FD1">
              <w:rPr>
                <w:rFonts w:cstheme="minorHAnsi"/>
              </w:rPr>
              <w:t xml:space="preserve">number of points </w:t>
            </w:r>
          </w:p>
        </w:tc>
        <w:tc>
          <w:tcPr>
            <w:tcW w:w="639" w:type="dxa"/>
            <w:tcBorders>
              <w:top w:val="single" w:sz="4" w:space="0" w:color="000000"/>
              <w:left w:val="single" w:sz="4" w:space="0" w:color="000000"/>
              <w:bottom w:val="single" w:sz="4" w:space="0" w:color="000000"/>
              <w:right w:val="single" w:sz="4" w:space="0" w:color="000000"/>
            </w:tcBorders>
            <w:shd w:val="clear" w:color="auto" w:fill="E5E5E5"/>
          </w:tcPr>
          <w:p w:rsidR="00E67FD1" w:rsidRPr="00E67FD1" w:rsidRDefault="00E67FD1" w:rsidP="00E67FD1">
            <w:pPr>
              <w:spacing w:line="276" w:lineRule="auto"/>
              <w:rPr>
                <w:rFonts w:cstheme="minorHAnsi"/>
              </w:rPr>
            </w:pPr>
            <w:r w:rsidRPr="00E67FD1">
              <w:rPr>
                <w:rFonts w:cstheme="minorHAnsi"/>
              </w:rPr>
              <w:t>Off er</w:t>
            </w:r>
          </w:p>
          <w:p w:rsidR="00E67FD1" w:rsidRPr="00E67FD1" w:rsidRDefault="00E67FD1" w:rsidP="00E67FD1">
            <w:pPr>
              <w:spacing w:line="276" w:lineRule="auto"/>
              <w:rPr>
                <w:rFonts w:cstheme="minorHAnsi"/>
              </w:rPr>
            </w:pPr>
            <w:r w:rsidRPr="00E67FD1">
              <w:rPr>
                <w:rFonts w:cstheme="minorHAnsi"/>
              </w:rPr>
              <w:t xml:space="preserve">1 </w:t>
            </w:r>
          </w:p>
        </w:tc>
        <w:tc>
          <w:tcPr>
            <w:tcW w:w="489" w:type="dxa"/>
            <w:tcBorders>
              <w:top w:val="single" w:sz="4" w:space="0" w:color="000000"/>
              <w:left w:val="single" w:sz="4" w:space="0" w:color="000000"/>
              <w:bottom w:val="single" w:sz="4" w:space="0" w:color="000000"/>
              <w:right w:val="single" w:sz="4" w:space="0" w:color="000000"/>
            </w:tcBorders>
            <w:shd w:val="clear" w:color="auto" w:fill="E5E5E5"/>
          </w:tcPr>
          <w:p w:rsidR="00E67FD1" w:rsidRPr="00E67FD1" w:rsidRDefault="00E67FD1" w:rsidP="00E67FD1">
            <w:pPr>
              <w:spacing w:line="276" w:lineRule="auto"/>
              <w:rPr>
                <w:rFonts w:cstheme="minorHAnsi"/>
              </w:rPr>
            </w:pPr>
            <w:r w:rsidRPr="00E67FD1">
              <w:rPr>
                <w:rFonts w:cstheme="minorHAnsi"/>
              </w:rPr>
              <w:t>Off er</w:t>
            </w:r>
          </w:p>
          <w:p w:rsidR="00E67FD1" w:rsidRPr="00E67FD1" w:rsidRDefault="00E67FD1" w:rsidP="00E67FD1">
            <w:pPr>
              <w:spacing w:line="276" w:lineRule="auto"/>
              <w:rPr>
                <w:rFonts w:cstheme="minorHAnsi"/>
              </w:rPr>
            </w:pPr>
            <w:r w:rsidRPr="00E67FD1">
              <w:rPr>
                <w:rFonts w:cstheme="minorHAnsi"/>
              </w:rPr>
              <w:t xml:space="preserve">2 </w:t>
            </w:r>
          </w:p>
        </w:tc>
        <w:tc>
          <w:tcPr>
            <w:tcW w:w="561" w:type="dxa"/>
            <w:tcBorders>
              <w:top w:val="single" w:sz="4" w:space="0" w:color="000000"/>
              <w:left w:val="single" w:sz="4" w:space="0" w:color="000000"/>
              <w:bottom w:val="single" w:sz="4" w:space="0" w:color="000000"/>
              <w:right w:val="single" w:sz="4" w:space="0" w:color="000000"/>
            </w:tcBorders>
            <w:shd w:val="clear" w:color="auto" w:fill="E5E5E5"/>
          </w:tcPr>
          <w:p w:rsidR="00E67FD1" w:rsidRPr="00E67FD1" w:rsidRDefault="00E67FD1" w:rsidP="00E67FD1">
            <w:pPr>
              <w:spacing w:line="276" w:lineRule="auto"/>
              <w:rPr>
                <w:rFonts w:cstheme="minorHAnsi"/>
              </w:rPr>
            </w:pPr>
            <w:r w:rsidRPr="00E67FD1">
              <w:rPr>
                <w:rFonts w:cstheme="minorHAnsi"/>
              </w:rPr>
              <w:t>Off er</w:t>
            </w:r>
          </w:p>
          <w:p w:rsidR="00E67FD1" w:rsidRPr="00E67FD1" w:rsidRDefault="00E67FD1" w:rsidP="00E67FD1">
            <w:pPr>
              <w:spacing w:line="276" w:lineRule="auto"/>
              <w:rPr>
                <w:rFonts w:cstheme="minorHAnsi"/>
              </w:rPr>
            </w:pPr>
            <w:r w:rsidRPr="00E67FD1">
              <w:rPr>
                <w:rFonts w:cstheme="minorHAnsi"/>
              </w:rPr>
              <w:t xml:space="preserve">3 </w:t>
            </w:r>
          </w:p>
        </w:tc>
        <w:tc>
          <w:tcPr>
            <w:tcW w:w="559" w:type="dxa"/>
            <w:tcBorders>
              <w:top w:val="single" w:sz="4" w:space="0" w:color="000000"/>
              <w:left w:val="single" w:sz="4" w:space="0" w:color="000000"/>
              <w:bottom w:val="single" w:sz="4" w:space="0" w:color="000000"/>
              <w:right w:val="single" w:sz="4" w:space="0" w:color="000000"/>
            </w:tcBorders>
            <w:shd w:val="clear" w:color="auto" w:fill="E5E5E5"/>
          </w:tcPr>
          <w:p w:rsidR="00E67FD1" w:rsidRPr="00E67FD1" w:rsidRDefault="00E67FD1" w:rsidP="00E67FD1">
            <w:pPr>
              <w:spacing w:line="276" w:lineRule="auto"/>
              <w:rPr>
                <w:rFonts w:cstheme="minorHAnsi"/>
              </w:rPr>
            </w:pPr>
            <w:r w:rsidRPr="00E67FD1">
              <w:rPr>
                <w:rFonts w:cstheme="minorHAnsi"/>
              </w:rPr>
              <w:t>Off er</w:t>
            </w:r>
          </w:p>
          <w:p w:rsidR="00E67FD1" w:rsidRPr="00E67FD1" w:rsidRDefault="00E67FD1" w:rsidP="00E67FD1">
            <w:pPr>
              <w:spacing w:line="276" w:lineRule="auto"/>
              <w:rPr>
                <w:rFonts w:cstheme="minorHAnsi"/>
              </w:rPr>
            </w:pPr>
            <w:r w:rsidRPr="00E67FD1">
              <w:rPr>
                <w:rFonts w:cstheme="minorHAnsi"/>
              </w:rPr>
              <w:t xml:space="preserve">4 </w:t>
            </w:r>
          </w:p>
        </w:tc>
        <w:tc>
          <w:tcPr>
            <w:tcW w:w="715" w:type="dxa"/>
            <w:tcBorders>
              <w:top w:val="single" w:sz="4" w:space="0" w:color="000000"/>
              <w:left w:val="single" w:sz="4" w:space="0" w:color="000000"/>
              <w:bottom w:val="single" w:sz="4" w:space="0" w:color="000000"/>
              <w:right w:val="single" w:sz="4" w:space="0" w:color="000000"/>
            </w:tcBorders>
            <w:shd w:val="clear" w:color="auto" w:fill="E5E5E5"/>
          </w:tcPr>
          <w:p w:rsidR="00E67FD1" w:rsidRPr="00E67FD1" w:rsidRDefault="00E67FD1" w:rsidP="00E67FD1">
            <w:pPr>
              <w:spacing w:line="276" w:lineRule="auto"/>
              <w:rPr>
                <w:rFonts w:cstheme="minorHAnsi"/>
              </w:rPr>
            </w:pPr>
            <w:r w:rsidRPr="00E67FD1">
              <w:rPr>
                <w:rFonts w:cstheme="minorHAnsi"/>
              </w:rPr>
              <w:t xml:space="preserve">Black Rock </w:t>
            </w:r>
          </w:p>
          <w:p w:rsidR="00E67FD1" w:rsidRPr="00E67FD1" w:rsidRDefault="00E67FD1" w:rsidP="00E67FD1">
            <w:pPr>
              <w:spacing w:line="276" w:lineRule="auto"/>
              <w:rPr>
                <w:rFonts w:cstheme="minorHAnsi"/>
              </w:rPr>
            </w:pPr>
          </w:p>
        </w:tc>
        <w:tc>
          <w:tcPr>
            <w:tcW w:w="662" w:type="dxa"/>
            <w:tcBorders>
              <w:top w:val="single" w:sz="4" w:space="0" w:color="000000"/>
              <w:left w:val="single" w:sz="4" w:space="0" w:color="000000"/>
              <w:bottom w:val="single" w:sz="4" w:space="0" w:color="000000"/>
              <w:right w:val="single" w:sz="4" w:space="0" w:color="000000"/>
            </w:tcBorders>
            <w:shd w:val="clear" w:color="auto" w:fill="E5E5E5"/>
          </w:tcPr>
          <w:p w:rsidR="00E67FD1" w:rsidRPr="00E67FD1" w:rsidRDefault="00E67FD1" w:rsidP="00E67FD1">
            <w:pPr>
              <w:spacing w:line="276" w:lineRule="auto"/>
              <w:rPr>
                <w:rFonts w:cstheme="minorHAnsi"/>
              </w:rPr>
            </w:pPr>
            <w:r w:rsidRPr="00E67FD1">
              <w:rPr>
                <w:rFonts w:cstheme="minorHAnsi"/>
              </w:rPr>
              <w:t>Off er</w:t>
            </w:r>
          </w:p>
          <w:p w:rsidR="00E67FD1" w:rsidRPr="00E67FD1" w:rsidRDefault="00E67FD1" w:rsidP="00E67FD1">
            <w:pPr>
              <w:spacing w:line="276" w:lineRule="auto"/>
              <w:rPr>
                <w:rFonts w:cstheme="minorHAnsi"/>
              </w:rPr>
            </w:pPr>
            <w:r w:rsidRPr="00E67FD1">
              <w:rPr>
                <w:rFonts w:cstheme="minorHAnsi"/>
              </w:rPr>
              <w:t xml:space="preserve">6 </w:t>
            </w:r>
          </w:p>
        </w:tc>
        <w:tc>
          <w:tcPr>
            <w:tcW w:w="850" w:type="dxa"/>
            <w:tcBorders>
              <w:top w:val="single" w:sz="4" w:space="0" w:color="000000"/>
              <w:left w:val="single" w:sz="4" w:space="0" w:color="000000"/>
              <w:bottom w:val="single" w:sz="4" w:space="0" w:color="000000"/>
              <w:right w:val="single" w:sz="4" w:space="0" w:color="000000"/>
            </w:tcBorders>
            <w:shd w:val="clear" w:color="auto" w:fill="E5E5E5"/>
          </w:tcPr>
          <w:p w:rsidR="00E67FD1" w:rsidRPr="00E67FD1" w:rsidRDefault="00E67FD1" w:rsidP="00E67FD1">
            <w:pPr>
              <w:spacing w:line="276" w:lineRule="auto"/>
              <w:rPr>
                <w:rFonts w:cstheme="minorHAnsi"/>
              </w:rPr>
            </w:pPr>
            <w:r w:rsidRPr="00E67FD1">
              <w:rPr>
                <w:rFonts w:cstheme="minorHAnsi"/>
              </w:rPr>
              <w:t xml:space="preserve">Offer </w:t>
            </w:r>
          </w:p>
          <w:p w:rsidR="00E67FD1" w:rsidRPr="00E67FD1" w:rsidRDefault="00E67FD1" w:rsidP="00E67FD1">
            <w:pPr>
              <w:spacing w:line="276" w:lineRule="auto"/>
              <w:rPr>
                <w:rFonts w:cstheme="minorHAnsi"/>
              </w:rPr>
            </w:pPr>
            <w:r w:rsidRPr="00E67FD1">
              <w:rPr>
                <w:rFonts w:cstheme="minorHAnsi"/>
              </w:rPr>
              <w:t xml:space="preserve">9 </w:t>
            </w:r>
          </w:p>
        </w:tc>
      </w:tr>
      <w:tr w:rsidR="00E67FD1" w:rsidRPr="00E67FD1" w:rsidTr="00E67FD1">
        <w:trPr>
          <w:trHeight w:val="978"/>
        </w:trPr>
        <w:tc>
          <w:tcPr>
            <w:tcW w:w="523"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b/>
              </w:rPr>
              <w:t xml:space="preserve">1.1 </w:t>
            </w:r>
          </w:p>
        </w:tc>
        <w:tc>
          <w:tcPr>
            <w:tcW w:w="3307"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b/>
              </w:rPr>
              <w:t>Quality and relevance of the proposed methodology</w:t>
            </w:r>
            <w:r w:rsidRPr="00E67FD1">
              <w:rPr>
                <w:rFonts w:cstheme="minorHAnsi"/>
              </w:rPr>
              <w:t xml:space="preserve"> - state of play on the way banks at EU and global level currently deal with ESG risks, on national supervisory frameworks and practices for the integration of ESG risks into the banking prudential supervision</w:t>
            </w:r>
          </w:p>
        </w:tc>
        <w:tc>
          <w:tcPr>
            <w:tcW w:w="981"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30 </w:t>
            </w:r>
          </w:p>
        </w:tc>
        <w:tc>
          <w:tcPr>
            <w:tcW w:w="639"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21 </w:t>
            </w:r>
          </w:p>
        </w:tc>
        <w:tc>
          <w:tcPr>
            <w:tcW w:w="489"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22 </w:t>
            </w:r>
          </w:p>
        </w:tc>
        <w:tc>
          <w:tcPr>
            <w:tcW w:w="561"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27 </w:t>
            </w:r>
          </w:p>
        </w:tc>
        <w:tc>
          <w:tcPr>
            <w:tcW w:w="559"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24 </w:t>
            </w:r>
          </w:p>
        </w:tc>
        <w:tc>
          <w:tcPr>
            <w:tcW w:w="715"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28 </w:t>
            </w:r>
          </w:p>
        </w:tc>
        <w:tc>
          <w:tcPr>
            <w:tcW w:w="662"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21 </w:t>
            </w:r>
          </w:p>
        </w:tc>
        <w:tc>
          <w:tcPr>
            <w:tcW w:w="850"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24 </w:t>
            </w:r>
          </w:p>
        </w:tc>
      </w:tr>
      <w:tr w:rsidR="00E67FD1" w:rsidRPr="00E67FD1" w:rsidTr="00E67FD1">
        <w:trPr>
          <w:trHeight w:val="1906"/>
        </w:trPr>
        <w:tc>
          <w:tcPr>
            <w:tcW w:w="523"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b/>
              </w:rPr>
              <w:t xml:space="preserve">1.2 </w:t>
            </w:r>
          </w:p>
        </w:tc>
        <w:tc>
          <w:tcPr>
            <w:tcW w:w="3307"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b/>
              </w:rPr>
              <w:t>Quality and relevance of the proposed methodology</w:t>
            </w:r>
            <w:r w:rsidRPr="00E67FD1">
              <w:rPr>
                <w:rFonts w:cstheme="minorHAnsi"/>
              </w:rPr>
              <w:t xml:space="preserve"> - Identification and development of principles/best practices on arrangements, processes, mechanisms and strategies to be implemented by EU banks to adequately map, assess and manage ESG risks; and development of principles/best practices for the integration of ESG risks into the EU banking prudential supervision</w:t>
            </w:r>
          </w:p>
        </w:tc>
        <w:tc>
          <w:tcPr>
            <w:tcW w:w="981"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30 </w:t>
            </w:r>
          </w:p>
        </w:tc>
        <w:tc>
          <w:tcPr>
            <w:tcW w:w="639"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23 </w:t>
            </w:r>
          </w:p>
        </w:tc>
        <w:tc>
          <w:tcPr>
            <w:tcW w:w="489"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23 </w:t>
            </w:r>
          </w:p>
        </w:tc>
        <w:tc>
          <w:tcPr>
            <w:tcW w:w="561"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27 </w:t>
            </w:r>
          </w:p>
        </w:tc>
        <w:tc>
          <w:tcPr>
            <w:tcW w:w="559"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25 </w:t>
            </w:r>
          </w:p>
        </w:tc>
        <w:tc>
          <w:tcPr>
            <w:tcW w:w="715"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28 </w:t>
            </w:r>
          </w:p>
        </w:tc>
        <w:tc>
          <w:tcPr>
            <w:tcW w:w="662"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20 </w:t>
            </w:r>
          </w:p>
        </w:tc>
        <w:tc>
          <w:tcPr>
            <w:tcW w:w="850"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26 </w:t>
            </w:r>
          </w:p>
        </w:tc>
      </w:tr>
      <w:tr w:rsidR="00E67FD1" w:rsidRPr="00E67FD1" w:rsidTr="00E67FD1">
        <w:trPr>
          <w:trHeight w:val="2273"/>
        </w:trPr>
        <w:tc>
          <w:tcPr>
            <w:tcW w:w="523"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b/>
              </w:rPr>
              <w:lastRenderedPageBreak/>
              <w:t xml:space="preserve">1.3 </w:t>
            </w:r>
          </w:p>
        </w:tc>
        <w:tc>
          <w:tcPr>
            <w:tcW w:w="3307"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b/>
              </w:rPr>
              <w:t>Quality and relevance of the proposed methodology</w:t>
            </w:r>
            <w:r w:rsidRPr="00E67FD1">
              <w:rPr>
                <w:rFonts w:cstheme="minorHAnsi"/>
              </w:rPr>
              <w:t xml:space="preserve"> – A) Analysis of current state of play of banks' strategies to integrate sustainability factors into lending and investment activities; B) analysis of the global and EU markets for green finance and for responsible/sustainable investements, and C) Identification of potential initiatives to support green finance and markets for sustainable investment including possible regulatory incentives</w:t>
            </w:r>
          </w:p>
        </w:tc>
        <w:tc>
          <w:tcPr>
            <w:tcW w:w="981"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20 </w:t>
            </w:r>
          </w:p>
        </w:tc>
        <w:tc>
          <w:tcPr>
            <w:tcW w:w="639"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10 </w:t>
            </w:r>
          </w:p>
        </w:tc>
        <w:tc>
          <w:tcPr>
            <w:tcW w:w="489"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15 </w:t>
            </w:r>
          </w:p>
        </w:tc>
        <w:tc>
          <w:tcPr>
            <w:tcW w:w="561"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17 </w:t>
            </w:r>
          </w:p>
        </w:tc>
        <w:tc>
          <w:tcPr>
            <w:tcW w:w="559"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15 </w:t>
            </w:r>
          </w:p>
        </w:tc>
        <w:tc>
          <w:tcPr>
            <w:tcW w:w="715"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20 </w:t>
            </w:r>
          </w:p>
        </w:tc>
        <w:tc>
          <w:tcPr>
            <w:tcW w:w="662"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8 </w:t>
            </w:r>
          </w:p>
        </w:tc>
        <w:tc>
          <w:tcPr>
            <w:tcW w:w="850"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17 </w:t>
            </w:r>
          </w:p>
        </w:tc>
      </w:tr>
      <w:tr w:rsidR="00E67FD1" w:rsidRPr="00E67FD1" w:rsidTr="00E67FD1">
        <w:trPr>
          <w:trHeight w:val="526"/>
        </w:trPr>
        <w:tc>
          <w:tcPr>
            <w:tcW w:w="523"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b/>
              </w:rPr>
              <w:t xml:space="preserve">2 </w:t>
            </w:r>
          </w:p>
        </w:tc>
        <w:tc>
          <w:tcPr>
            <w:tcW w:w="3307"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b/>
              </w:rPr>
              <w:t>Organisation of the work</w:t>
            </w:r>
          </w:p>
        </w:tc>
        <w:tc>
          <w:tcPr>
            <w:tcW w:w="981"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10 </w:t>
            </w:r>
          </w:p>
        </w:tc>
        <w:tc>
          <w:tcPr>
            <w:tcW w:w="639"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8 </w:t>
            </w:r>
          </w:p>
        </w:tc>
        <w:tc>
          <w:tcPr>
            <w:tcW w:w="489"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7 </w:t>
            </w:r>
          </w:p>
        </w:tc>
        <w:tc>
          <w:tcPr>
            <w:tcW w:w="561"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9 </w:t>
            </w:r>
          </w:p>
        </w:tc>
        <w:tc>
          <w:tcPr>
            <w:tcW w:w="559"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8 </w:t>
            </w:r>
          </w:p>
        </w:tc>
        <w:tc>
          <w:tcPr>
            <w:tcW w:w="715"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9 </w:t>
            </w:r>
          </w:p>
        </w:tc>
        <w:tc>
          <w:tcPr>
            <w:tcW w:w="662"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7 </w:t>
            </w:r>
          </w:p>
        </w:tc>
        <w:tc>
          <w:tcPr>
            <w:tcW w:w="850"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9 </w:t>
            </w:r>
          </w:p>
        </w:tc>
      </w:tr>
      <w:tr w:rsidR="00E67FD1" w:rsidRPr="00E67FD1" w:rsidTr="00E67FD1">
        <w:trPr>
          <w:trHeight w:val="526"/>
        </w:trPr>
        <w:tc>
          <w:tcPr>
            <w:tcW w:w="523"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b/>
              </w:rPr>
              <w:t xml:space="preserve">3 </w:t>
            </w:r>
          </w:p>
        </w:tc>
        <w:tc>
          <w:tcPr>
            <w:tcW w:w="3307"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b/>
              </w:rPr>
              <w:t>Quality control measures</w:t>
            </w:r>
          </w:p>
        </w:tc>
        <w:tc>
          <w:tcPr>
            <w:tcW w:w="981"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10 </w:t>
            </w:r>
          </w:p>
        </w:tc>
        <w:tc>
          <w:tcPr>
            <w:tcW w:w="639"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8 </w:t>
            </w:r>
          </w:p>
        </w:tc>
        <w:tc>
          <w:tcPr>
            <w:tcW w:w="489"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7 </w:t>
            </w:r>
          </w:p>
        </w:tc>
        <w:tc>
          <w:tcPr>
            <w:tcW w:w="561"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9 </w:t>
            </w:r>
          </w:p>
        </w:tc>
        <w:tc>
          <w:tcPr>
            <w:tcW w:w="559"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8 </w:t>
            </w:r>
          </w:p>
        </w:tc>
        <w:tc>
          <w:tcPr>
            <w:tcW w:w="715"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9 </w:t>
            </w:r>
          </w:p>
        </w:tc>
        <w:tc>
          <w:tcPr>
            <w:tcW w:w="662"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6 </w:t>
            </w:r>
          </w:p>
        </w:tc>
        <w:tc>
          <w:tcPr>
            <w:tcW w:w="850"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8 </w:t>
            </w:r>
          </w:p>
        </w:tc>
      </w:tr>
      <w:tr w:rsidR="00E67FD1" w:rsidRPr="00E67FD1" w:rsidTr="00E67FD1">
        <w:trPr>
          <w:trHeight w:val="543"/>
        </w:trPr>
        <w:tc>
          <w:tcPr>
            <w:tcW w:w="523"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p>
        </w:tc>
        <w:tc>
          <w:tcPr>
            <w:tcW w:w="3307"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b/>
              </w:rPr>
              <w:t xml:space="preserve">TOTAL SCORE </w:t>
            </w:r>
          </w:p>
        </w:tc>
        <w:tc>
          <w:tcPr>
            <w:tcW w:w="981"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100 </w:t>
            </w:r>
          </w:p>
        </w:tc>
        <w:tc>
          <w:tcPr>
            <w:tcW w:w="639"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70 </w:t>
            </w:r>
          </w:p>
        </w:tc>
        <w:tc>
          <w:tcPr>
            <w:tcW w:w="489"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74 </w:t>
            </w:r>
          </w:p>
        </w:tc>
        <w:tc>
          <w:tcPr>
            <w:tcW w:w="561"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89 </w:t>
            </w:r>
          </w:p>
        </w:tc>
        <w:tc>
          <w:tcPr>
            <w:tcW w:w="559"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80 </w:t>
            </w:r>
          </w:p>
        </w:tc>
        <w:tc>
          <w:tcPr>
            <w:tcW w:w="715"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94 </w:t>
            </w:r>
          </w:p>
          <w:p w:rsidR="00E67FD1" w:rsidRPr="00E67FD1" w:rsidRDefault="00E67FD1" w:rsidP="00E67FD1">
            <w:pPr>
              <w:spacing w:line="276" w:lineRule="auto"/>
              <w:rPr>
                <w:rFonts w:cstheme="minorHAnsi"/>
              </w:rPr>
            </w:pPr>
          </w:p>
        </w:tc>
        <w:tc>
          <w:tcPr>
            <w:tcW w:w="662"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62 </w:t>
            </w:r>
          </w:p>
        </w:tc>
        <w:tc>
          <w:tcPr>
            <w:tcW w:w="850" w:type="dxa"/>
            <w:tcBorders>
              <w:top w:val="single" w:sz="4" w:space="0" w:color="000000"/>
              <w:left w:val="single" w:sz="4" w:space="0" w:color="000000"/>
              <w:bottom w:val="single" w:sz="4" w:space="0" w:color="000000"/>
              <w:right w:val="single" w:sz="4" w:space="0" w:color="000000"/>
            </w:tcBorders>
          </w:tcPr>
          <w:p w:rsidR="00E67FD1" w:rsidRPr="00E67FD1" w:rsidRDefault="00E67FD1" w:rsidP="00E67FD1">
            <w:pPr>
              <w:spacing w:line="276" w:lineRule="auto"/>
              <w:rPr>
                <w:rFonts w:cstheme="minorHAnsi"/>
              </w:rPr>
            </w:pPr>
            <w:r w:rsidRPr="00E67FD1">
              <w:rPr>
                <w:rFonts w:cstheme="minorHAnsi"/>
              </w:rPr>
              <w:t xml:space="preserve">84 </w:t>
            </w:r>
          </w:p>
        </w:tc>
      </w:tr>
    </w:tbl>
    <w:p w:rsidR="00E67FD1" w:rsidRDefault="00E67FD1" w:rsidP="009543A7">
      <w:pPr>
        <w:spacing w:line="360" w:lineRule="auto"/>
        <w:jc w:val="both"/>
        <w:rPr>
          <w:rFonts w:cstheme="minorHAnsi"/>
          <w:lang w:val="el-GR"/>
        </w:rPr>
      </w:pPr>
    </w:p>
    <w:p w:rsidR="00E67FD1" w:rsidRDefault="00E67FD1" w:rsidP="009543A7">
      <w:pPr>
        <w:spacing w:line="360" w:lineRule="auto"/>
        <w:jc w:val="both"/>
        <w:rPr>
          <w:rFonts w:cstheme="minorHAnsi"/>
          <w:lang w:val="el-GR"/>
        </w:rPr>
      </w:pPr>
    </w:p>
    <w:p w:rsidR="00E67FD1" w:rsidRDefault="00E67FD1" w:rsidP="009543A7">
      <w:pPr>
        <w:spacing w:line="360" w:lineRule="auto"/>
        <w:jc w:val="both"/>
        <w:rPr>
          <w:rFonts w:cstheme="minorHAnsi"/>
          <w:lang w:val="el-GR"/>
        </w:rPr>
      </w:pPr>
    </w:p>
    <w:p w:rsidR="00E67FD1" w:rsidRDefault="00E67FD1" w:rsidP="009543A7">
      <w:pPr>
        <w:spacing w:line="360" w:lineRule="auto"/>
        <w:jc w:val="both"/>
        <w:rPr>
          <w:rFonts w:cstheme="minorHAnsi"/>
          <w:lang w:val="el-GR"/>
        </w:rPr>
      </w:pPr>
      <w:bookmarkStart w:id="0" w:name="_GoBack"/>
      <w:bookmarkEnd w:id="0"/>
    </w:p>
    <w:p w:rsidR="00E67FD1" w:rsidRPr="00E67FD1" w:rsidRDefault="007E1023" w:rsidP="009543A7">
      <w:pPr>
        <w:spacing w:line="360" w:lineRule="auto"/>
        <w:jc w:val="both"/>
        <w:rPr>
          <w:rFonts w:cstheme="minorHAnsi"/>
          <w:lang w:val="el-GR"/>
        </w:rPr>
      </w:pPr>
      <w:r>
        <w:rPr>
          <w:rFonts w:cstheme="minorHAnsi"/>
          <w:lang w:val="el-GR"/>
        </w:rPr>
        <w:t>13</w:t>
      </w:r>
      <w:r w:rsidR="00E67FD1">
        <w:rPr>
          <w:rFonts w:cstheme="minorHAnsi"/>
          <w:lang w:val="el-GR"/>
        </w:rPr>
        <w:t xml:space="preserve">.07.2020                                                                           </w:t>
      </w:r>
    </w:p>
    <w:p w:rsidR="009543A7" w:rsidRPr="00B76D35" w:rsidRDefault="009543A7" w:rsidP="009543A7">
      <w:pPr>
        <w:spacing w:line="360" w:lineRule="auto"/>
        <w:jc w:val="both"/>
        <w:rPr>
          <w:lang w:val="el-GR"/>
        </w:rPr>
      </w:pPr>
    </w:p>
    <w:p w:rsidR="009543A7" w:rsidRPr="00B76D35" w:rsidRDefault="009543A7" w:rsidP="009543A7">
      <w:pPr>
        <w:spacing w:line="360" w:lineRule="auto"/>
        <w:jc w:val="both"/>
        <w:rPr>
          <w:lang w:val="el-GR"/>
        </w:rPr>
      </w:pPr>
    </w:p>
    <w:p w:rsidR="009543A7" w:rsidRPr="00B76D35" w:rsidRDefault="009543A7" w:rsidP="009543A7">
      <w:pPr>
        <w:spacing w:line="360" w:lineRule="auto"/>
        <w:jc w:val="both"/>
        <w:rPr>
          <w:lang w:val="el-GR"/>
        </w:rPr>
      </w:pPr>
    </w:p>
    <w:p w:rsidR="009543A7" w:rsidRPr="00B76D35" w:rsidRDefault="009543A7" w:rsidP="009543A7">
      <w:pPr>
        <w:spacing w:line="360" w:lineRule="auto"/>
        <w:jc w:val="both"/>
        <w:rPr>
          <w:lang w:val="el-GR"/>
        </w:rPr>
      </w:pPr>
    </w:p>
    <w:p w:rsidR="009543A7" w:rsidRPr="00B76D35" w:rsidRDefault="009543A7" w:rsidP="009543A7">
      <w:pPr>
        <w:spacing w:line="360" w:lineRule="auto"/>
        <w:jc w:val="both"/>
        <w:rPr>
          <w:lang w:val="el-GR"/>
        </w:rPr>
      </w:pPr>
    </w:p>
    <w:p w:rsidR="009543A7" w:rsidRPr="00B76D35" w:rsidRDefault="009543A7" w:rsidP="009543A7">
      <w:pPr>
        <w:spacing w:line="360" w:lineRule="auto"/>
        <w:jc w:val="both"/>
        <w:rPr>
          <w:lang w:val="el-GR"/>
        </w:rPr>
      </w:pPr>
    </w:p>
    <w:p w:rsidR="009543A7" w:rsidRPr="00B76D35" w:rsidRDefault="009543A7" w:rsidP="009543A7">
      <w:pPr>
        <w:spacing w:line="360" w:lineRule="auto"/>
        <w:jc w:val="both"/>
        <w:rPr>
          <w:lang w:val="el-GR"/>
        </w:rPr>
      </w:pPr>
    </w:p>
    <w:sectPr w:rsidR="009543A7" w:rsidRPr="00B76D35" w:rsidSect="0007065D">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538" w:rsidRDefault="00324538" w:rsidP="00E67FD1">
      <w:r>
        <w:separator/>
      </w:r>
    </w:p>
  </w:endnote>
  <w:endnote w:type="continuationSeparator" w:id="1">
    <w:p w:rsidR="00324538" w:rsidRDefault="00324538" w:rsidP="00E67F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538" w:rsidRDefault="00324538" w:rsidP="00E67FD1">
      <w:r>
        <w:separator/>
      </w:r>
    </w:p>
  </w:footnote>
  <w:footnote w:type="continuationSeparator" w:id="1">
    <w:p w:rsidR="00324538" w:rsidRDefault="00324538" w:rsidP="00E67FD1">
      <w:r>
        <w:continuationSeparator/>
      </w:r>
    </w:p>
  </w:footnote>
  <w:footnote w:id="2">
    <w:p w:rsidR="00E67FD1" w:rsidRPr="00AA0BF9" w:rsidRDefault="00E67FD1" w:rsidP="00E67FD1">
      <w:pPr>
        <w:pStyle w:val="a6"/>
        <w:rPr>
          <w:rFonts w:ascii="Times New Roman" w:hAnsi="Times New Roman"/>
        </w:rPr>
      </w:pPr>
      <w:r>
        <w:rPr>
          <w:rStyle w:val="a7"/>
          <w:rFonts w:ascii="Times New Roman" w:hAnsi="Times New Roman"/>
        </w:rPr>
        <w:footnoteRef/>
      </w:r>
      <w:r>
        <w:rPr>
          <w:rFonts w:ascii="Times New Roman" w:hAnsi="Times New Roman"/>
        </w:rPr>
        <w:t xml:space="preserve"> Κανονισμός (ΕΕ) 2018/1725 του Ευρωπαϊκού Κοινοβουλίου και του Συμβουλίου της 23ης Οκτωβρίου 2018.</w:t>
      </w:r>
    </w:p>
  </w:footnote>
  <w:footnote w:id="3">
    <w:p w:rsidR="00E67FD1" w:rsidRPr="00AA0BF9" w:rsidRDefault="00E67FD1" w:rsidP="00E67FD1">
      <w:pPr>
        <w:pStyle w:val="a6"/>
        <w:spacing w:line="240" w:lineRule="auto"/>
        <w:rPr>
          <w:rFonts w:ascii="Times New Roman" w:hAnsi="Times New Roman"/>
          <w:lang w:val="hu-HU"/>
        </w:rPr>
      </w:pPr>
      <w:r>
        <w:rPr>
          <w:rStyle w:val="a7"/>
          <w:rFonts w:ascii="Times New Roman" w:hAnsi="Times New Roman"/>
        </w:rPr>
        <w:footnoteRef/>
      </w:r>
      <w:hyperlink r:id="rId1" w:history="1">
        <w:r>
          <w:rPr>
            <w:rStyle w:val="-"/>
            <w:rFonts w:ascii="Times New Roman" w:hAnsi="Times New Roman"/>
            <w:lang w:val="en-GB"/>
          </w:rPr>
          <w:t>https</w:t>
        </w:r>
        <w:r w:rsidRPr="00726ADC">
          <w:rPr>
            <w:rStyle w:val="-"/>
            <w:rFonts w:ascii="Times New Roman" w:hAnsi="Times New Roman"/>
          </w:rPr>
          <w:t>://</w:t>
        </w:r>
        <w:r>
          <w:rPr>
            <w:rStyle w:val="-"/>
            <w:rFonts w:ascii="Times New Roman" w:hAnsi="Times New Roman"/>
            <w:lang w:val="en-GB"/>
          </w:rPr>
          <w:t>ec</w:t>
        </w:r>
        <w:r w:rsidRPr="00726ADC">
          <w:rPr>
            <w:rStyle w:val="-"/>
            <w:rFonts w:ascii="Times New Roman" w:hAnsi="Times New Roman"/>
          </w:rPr>
          <w:t>.</w:t>
        </w:r>
        <w:r>
          <w:rPr>
            <w:rStyle w:val="-"/>
            <w:rFonts w:ascii="Times New Roman" w:hAnsi="Times New Roman"/>
            <w:lang w:val="en-GB"/>
          </w:rPr>
          <w:t>europa</w:t>
        </w:r>
        <w:r w:rsidRPr="00726ADC">
          <w:rPr>
            <w:rStyle w:val="-"/>
            <w:rFonts w:ascii="Times New Roman" w:hAnsi="Times New Roman"/>
          </w:rPr>
          <w:t>.</w:t>
        </w:r>
        <w:r>
          <w:rPr>
            <w:rStyle w:val="-"/>
            <w:rFonts w:ascii="Times New Roman" w:hAnsi="Times New Roman"/>
            <w:lang w:val="en-GB"/>
          </w:rPr>
          <w:t>eu</w:t>
        </w:r>
        <w:r w:rsidRPr="00726ADC">
          <w:rPr>
            <w:rStyle w:val="-"/>
            <w:rFonts w:ascii="Times New Roman" w:hAnsi="Times New Roman"/>
          </w:rPr>
          <w:t>/</w:t>
        </w:r>
        <w:r>
          <w:rPr>
            <w:rStyle w:val="-"/>
            <w:rFonts w:ascii="Times New Roman" w:hAnsi="Times New Roman"/>
            <w:lang w:val="en-GB"/>
          </w:rPr>
          <w:t>info</w:t>
        </w:r>
        <w:r w:rsidRPr="00726ADC">
          <w:rPr>
            <w:rStyle w:val="-"/>
            <w:rFonts w:ascii="Times New Roman" w:hAnsi="Times New Roman"/>
          </w:rPr>
          <w:t>/</w:t>
        </w:r>
        <w:r>
          <w:rPr>
            <w:rStyle w:val="-"/>
            <w:rFonts w:ascii="Times New Roman" w:hAnsi="Times New Roman"/>
            <w:lang w:val="en-GB"/>
          </w:rPr>
          <w:t>files</w:t>
        </w:r>
        <w:r w:rsidRPr="00726ADC">
          <w:rPr>
            <w:rStyle w:val="-"/>
            <w:rFonts w:ascii="Times New Roman" w:hAnsi="Times New Roman"/>
          </w:rPr>
          <w:t>/</w:t>
        </w:r>
        <w:r>
          <w:rPr>
            <w:rStyle w:val="-"/>
            <w:rFonts w:ascii="Times New Roman" w:hAnsi="Times New Roman"/>
            <w:lang w:val="en-GB"/>
          </w:rPr>
          <w:t>information</w:t>
        </w:r>
        <w:r w:rsidRPr="00726ADC">
          <w:rPr>
            <w:rStyle w:val="-"/>
            <w:rFonts w:ascii="Times New Roman" w:hAnsi="Times New Roman"/>
          </w:rPr>
          <w:t>-</w:t>
        </w:r>
        <w:r>
          <w:rPr>
            <w:rStyle w:val="-"/>
            <w:rFonts w:ascii="Times New Roman" w:hAnsi="Times New Roman"/>
            <w:lang w:val="en-GB"/>
          </w:rPr>
          <w:t>awarding</w:t>
        </w:r>
        <w:r w:rsidRPr="00726ADC">
          <w:rPr>
            <w:rStyle w:val="-"/>
            <w:rFonts w:ascii="Times New Roman" w:hAnsi="Times New Roman"/>
          </w:rPr>
          <w:t>-</w:t>
        </w:r>
        <w:r>
          <w:rPr>
            <w:rStyle w:val="-"/>
            <w:rFonts w:ascii="Times New Roman" w:hAnsi="Times New Roman"/>
            <w:lang w:val="en-GB"/>
          </w:rPr>
          <w:t>contract</w:t>
        </w:r>
        <w:r w:rsidRPr="00726ADC">
          <w:rPr>
            <w:rStyle w:val="-"/>
            <w:rFonts w:ascii="Times New Roman" w:hAnsi="Times New Roman"/>
          </w:rPr>
          <w:t>-</w:t>
        </w:r>
        <w:r>
          <w:rPr>
            <w:rStyle w:val="-"/>
            <w:rFonts w:ascii="Times New Roman" w:hAnsi="Times New Roman"/>
            <w:lang w:val="en-GB"/>
          </w:rPr>
          <w:t>carry</w:t>
        </w:r>
        <w:r w:rsidRPr="00726ADC">
          <w:rPr>
            <w:rStyle w:val="-"/>
            <w:rFonts w:ascii="Times New Roman" w:hAnsi="Times New Roman"/>
          </w:rPr>
          <w:t>-</w:t>
        </w:r>
        <w:r>
          <w:rPr>
            <w:rStyle w:val="-"/>
            <w:rFonts w:ascii="Times New Roman" w:hAnsi="Times New Roman"/>
            <w:lang w:val="en-GB"/>
          </w:rPr>
          <w:t>out</w:t>
        </w:r>
        <w:r w:rsidRPr="00726ADC">
          <w:rPr>
            <w:rStyle w:val="-"/>
            <w:rFonts w:ascii="Times New Roman" w:hAnsi="Times New Roman"/>
          </w:rPr>
          <w:t>-</w:t>
        </w:r>
        <w:r>
          <w:rPr>
            <w:rStyle w:val="-"/>
            <w:rFonts w:ascii="Times New Roman" w:hAnsi="Times New Roman"/>
            <w:lang w:val="en-GB"/>
          </w:rPr>
          <w:t>study</w:t>
        </w:r>
        <w:r w:rsidRPr="00726ADC">
          <w:rPr>
            <w:rStyle w:val="-"/>
            <w:rFonts w:ascii="Times New Roman" w:hAnsi="Times New Roman"/>
          </w:rPr>
          <w:t>-</w:t>
        </w:r>
        <w:r>
          <w:rPr>
            <w:rStyle w:val="-"/>
            <w:rFonts w:ascii="Times New Roman" w:hAnsi="Times New Roman"/>
            <w:lang w:val="en-GB"/>
          </w:rPr>
          <w:t>integrating</w:t>
        </w:r>
        <w:r w:rsidRPr="00726ADC">
          <w:rPr>
            <w:rStyle w:val="-"/>
            <w:rFonts w:ascii="Times New Roman" w:hAnsi="Times New Roman"/>
          </w:rPr>
          <w:t>-</w:t>
        </w:r>
        <w:r>
          <w:rPr>
            <w:rStyle w:val="-"/>
            <w:rFonts w:ascii="Times New Roman" w:hAnsi="Times New Roman"/>
            <w:lang w:val="en-GB"/>
          </w:rPr>
          <w:t>environmental</w:t>
        </w:r>
        <w:r w:rsidRPr="00726ADC">
          <w:rPr>
            <w:rStyle w:val="-"/>
            <w:rFonts w:ascii="Times New Roman" w:hAnsi="Times New Roman"/>
          </w:rPr>
          <w:t>-</w:t>
        </w:r>
        <w:r>
          <w:rPr>
            <w:rStyle w:val="-"/>
            <w:rFonts w:ascii="Times New Roman" w:hAnsi="Times New Roman"/>
            <w:lang w:val="en-GB"/>
          </w:rPr>
          <w:t>social</w:t>
        </w:r>
        <w:r w:rsidRPr="00726ADC">
          <w:rPr>
            <w:rStyle w:val="-"/>
            <w:rFonts w:ascii="Times New Roman" w:hAnsi="Times New Roman"/>
          </w:rPr>
          <w:t>-</w:t>
        </w:r>
        <w:r>
          <w:rPr>
            <w:rStyle w:val="-"/>
            <w:rFonts w:ascii="Times New Roman" w:hAnsi="Times New Roman"/>
            <w:lang w:val="en-GB"/>
          </w:rPr>
          <w:t>and</w:t>
        </w:r>
        <w:r w:rsidRPr="00726ADC">
          <w:rPr>
            <w:rStyle w:val="-"/>
            <w:rFonts w:ascii="Times New Roman" w:hAnsi="Times New Roman"/>
          </w:rPr>
          <w:t>-</w:t>
        </w:r>
        <w:r>
          <w:rPr>
            <w:rStyle w:val="-"/>
            <w:rFonts w:ascii="Times New Roman" w:hAnsi="Times New Roman"/>
            <w:lang w:val="en-GB"/>
          </w:rPr>
          <w:t>governance</w:t>
        </w:r>
        <w:r w:rsidRPr="00726ADC">
          <w:rPr>
            <w:rStyle w:val="-"/>
            <w:rFonts w:ascii="Times New Roman" w:hAnsi="Times New Roman"/>
          </w:rPr>
          <w:t>-</w:t>
        </w:r>
        <w:r>
          <w:rPr>
            <w:rStyle w:val="-"/>
            <w:rFonts w:ascii="Times New Roman" w:hAnsi="Times New Roman"/>
            <w:lang w:val="en-GB"/>
          </w:rPr>
          <w:t>esg</w:t>
        </w:r>
        <w:r w:rsidRPr="00726ADC">
          <w:rPr>
            <w:rStyle w:val="-"/>
            <w:rFonts w:ascii="Times New Roman" w:hAnsi="Times New Roman"/>
          </w:rPr>
          <w:t>-</w:t>
        </w:r>
        <w:r>
          <w:rPr>
            <w:rStyle w:val="-"/>
            <w:rFonts w:ascii="Times New Roman" w:hAnsi="Times New Roman"/>
            <w:lang w:val="en-GB"/>
          </w:rPr>
          <w:t>objectives</w:t>
        </w:r>
        <w:r w:rsidRPr="00726ADC">
          <w:rPr>
            <w:rStyle w:val="-"/>
            <w:rFonts w:ascii="Times New Roman" w:hAnsi="Times New Roman"/>
          </w:rPr>
          <w:t>-</w:t>
        </w:r>
        <w:r>
          <w:rPr>
            <w:rStyle w:val="-"/>
            <w:rFonts w:ascii="Times New Roman" w:hAnsi="Times New Roman"/>
            <w:lang w:val="en-GB"/>
          </w:rPr>
          <w:t>eu</w:t>
        </w:r>
        <w:r w:rsidRPr="00726ADC">
          <w:rPr>
            <w:rStyle w:val="-"/>
            <w:rFonts w:ascii="Times New Roman" w:hAnsi="Times New Roman"/>
          </w:rPr>
          <w:t>-</w:t>
        </w:r>
        <w:r>
          <w:rPr>
            <w:rStyle w:val="-"/>
            <w:rFonts w:ascii="Times New Roman" w:hAnsi="Times New Roman"/>
            <w:lang w:val="en-GB"/>
          </w:rPr>
          <w:t>banking</w:t>
        </w:r>
        <w:r w:rsidRPr="00726ADC">
          <w:rPr>
            <w:rStyle w:val="-"/>
            <w:rFonts w:ascii="Times New Roman" w:hAnsi="Times New Roman"/>
          </w:rPr>
          <w:t>-</w:t>
        </w:r>
        <w:r>
          <w:rPr>
            <w:rStyle w:val="-"/>
            <w:rFonts w:ascii="Times New Roman" w:hAnsi="Times New Roman"/>
            <w:lang w:val="en-GB"/>
          </w:rPr>
          <w:t>rules</w:t>
        </w:r>
        <w:r w:rsidRPr="00726ADC">
          <w:rPr>
            <w:rStyle w:val="-"/>
            <w:rFonts w:ascii="Times New Roman" w:hAnsi="Times New Roman"/>
          </w:rPr>
          <w:t>_</w:t>
        </w:r>
        <w:r>
          <w:rPr>
            <w:rStyle w:val="-"/>
            <w:rFonts w:ascii="Times New Roman" w:hAnsi="Times New Roman"/>
            <w:lang w:val="en-GB"/>
          </w:rPr>
          <w:t>en</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87F67"/>
    <w:multiLevelType w:val="hybridMultilevel"/>
    <w:tmpl w:val="F518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rsids>
    <w:rsidRoot w:val="005D32F3"/>
    <w:rsid w:val="000233E5"/>
    <w:rsid w:val="000402AD"/>
    <w:rsid w:val="0007065D"/>
    <w:rsid w:val="000D225B"/>
    <w:rsid w:val="000D2591"/>
    <w:rsid w:val="00103E87"/>
    <w:rsid w:val="0013159E"/>
    <w:rsid w:val="00173284"/>
    <w:rsid w:val="001E0E46"/>
    <w:rsid w:val="00223561"/>
    <w:rsid w:val="002432EC"/>
    <w:rsid w:val="00305705"/>
    <w:rsid w:val="003127F7"/>
    <w:rsid w:val="00324538"/>
    <w:rsid w:val="00431BE3"/>
    <w:rsid w:val="00447A9D"/>
    <w:rsid w:val="00474C42"/>
    <w:rsid w:val="00491639"/>
    <w:rsid w:val="00491840"/>
    <w:rsid w:val="004C65A6"/>
    <w:rsid w:val="00502BE3"/>
    <w:rsid w:val="00522937"/>
    <w:rsid w:val="005B468E"/>
    <w:rsid w:val="005D32F3"/>
    <w:rsid w:val="0062720D"/>
    <w:rsid w:val="00655FD1"/>
    <w:rsid w:val="00671036"/>
    <w:rsid w:val="0068742C"/>
    <w:rsid w:val="006D0FC9"/>
    <w:rsid w:val="006E2A5E"/>
    <w:rsid w:val="00721CDD"/>
    <w:rsid w:val="00741F30"/>
    <w:rsid w:val="00761D7C"/>
    <w:rsid w:val="007826A8"/>
    <w:rsid w:val="00786083"/>
    <w:rsid w:val="007E1023"/>
    <w:rsid w:val="008070B8"/>
    <w:rsid w:val="00860D91"/>
    <w:rsid w:val="00890A7A"/>
    <w:rsid w:val="00896FE1"/>
    <w:rsid w:val="008A3A90"/>
    <w:rsid w:val="009543A7"/>
    <w:rsid w:val="009576D7"/>
    <w:rsid w:val="00982569"/>
    <w:rsid w:val="00AA3295"/>
    <w:rsid w:val="00AF64F4"/>
    <w:rsid w:val="00B65107"/>
    <w:rsid w:val="00B76D35"/>
    <w:rsid w:val="00B83C18"/>
    <w:rsid w:val="00C30850"/>
    <w:rsid w:val="00CB6D45"/>
    <w:rsid w:val="00CE2E3A"/>
    <w:rsid w:val="00D00C5A"/>
    <w:rsid w:val="00D70218"/>
    <w:rsid w:val="00E1660A"/>
    <w:rsid w:val="00E65156"/>
    <w:rsid w:val="00E67FD1"/>
    <w:rsid w:val="00F35B00"/>
    <w:rsid w:val="00F6116D"/>
    <w:rsid w:val="00FC6C4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C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2EC"/>
    <w:pPr>
      <w:ind w:left="720"/>
      <w:contextualSpacing/>
    </w:pPr>
  </w:style>
  <w:style w:type="character" w:styleId="a4">
    <w:name w:val="Emphasis"/>
    <w:basedOn w:val="a0"/>
    <w:uiPriority w:val="20"/>
    <w:qFormat/>
    <w:rsid w:val="0013159E"/>
    <w:rPr>
      <w:i/>
      <w:iCs/>
    </w:rPr>
  </w:style>
  <w:style w:type="character" w:styleId="a5">
    <w:name w:val="Strong"/>
    <w:basedOn w:val="a0"/>
    <w:uiPriority w:val="22"/>
    <w:qFormat/>
    <w:rsid w:val="0013159E"/>
    <w:rPr>
      <w:b/>
      <w:bCs/>
    </w:rPr>
  </w:style>
  <w:style w:type="character" w:customStyle="1" w:styleId="Bold">
    <w:name w:val="Bold"/>
    <w:basedOn w:val="a0"/>
    <w:uiPriority w:val="1"/>
    <w:qFormat/>
    <w:rsid w:val="00E67FD1"/>
    <w:rPr>
      <w:rFonts w:ascii="Arial" w:hAnsi="Arial"/>
      <w:b/>
      <w:sz w:val="20"/>
    </w:rPr>
  </w:style>
  <w:style w:type="paragraph" w:customStyle="1" w:styleId="Arial10">
    <w:name w:val="Arial10"/>
    <w:qFormat/>
    <w:rsid w:val="00E67FD1"/>
    <w:rPr>
      <w:rFonts w:ascii="Arial" w:eastAsia="Times New Roman" w:hAnsi="Arial" w:cs="Times New Roman"/>
      <w:sz w:val="20"/>
      <w:szCs w:val="20"/>
      <w:lang w:eastAsia="en-GB"/>
    </w:rPr>
  </w:style>
  <w:style w:type="paragraph" w:customStyle="1" w:styleId="Arial10After10">
    <w:name w:val="Arial10After10"/>
    <w:basedOn w:val="Arial10"/>
    <w:qFormat/>
    <w:rsid w:val="00E67FD1"/>
    <w:pPr>
      <w:spacing w:after="200"/>
    </w:pPr>
  </w:style>
  <w:style w:type="paragraph" w:customStyle="1" w:styleId="Subject">
    <w:name w:val="Subject"/>
    <w:basedOn w:val="Arial10"/>
    <w:qFormat/>
    <w:rsid w:val="00E67FD1"/>
    <w:pPr>
      <w:tabs>
        <w:tab w:val="left" w:pos="1134"/>
      </w:tabs>
      <w:spacing w:after="240"/>
      <w:ind w:left="1134" w:hanging="1134"/>
    </w:pPr>
  </w:style>
  <w:style w:type="paragraph" w:customStyle="1" w:styleId="Body">
    <w:name w:val="Body"/>
    <w:qFormat/>
    <w:rsid w:val="00E67FD1"/>
    <w:pPr>
      <w:tabs>
        <w:tab w:val="left" w:pos="425"/>
        <w:tab w:val="left" w:pos="851"/>
        <w:tab w:val="left" w:pos="1276"/>
      </w:tabs>
      <w:spacing w:after="240"/>
    </w:pPr>
    <w:rPr>
      <w:rFonts w:ascii="Arial" w:eastAsia="Times New Roman" w:hAnsi="Arial" w:cs="Times New Roman"/>
      <w:sz w:val="20"/>
      <w:szCs w:val="20"/>
      <w:lang w:eastAsia="en-GB"/>
    </w:rPr>
  </w:style>
  <w:style w:type="paragraph" w:customStyle="1" w:styleId="itemList">
    <w:name w:val="itemList"/>
    <w:qFormat/>
    <w:rsid w:val="00E67FD1"/>
    <w:pPr>
      <w:tabs>
        <w:tab w:val="left" w:pos="425"/>
        <w:tab w:val="left" w:pos="851"/>
        <w:tab w:val="left" w:pos="1276"/>
      </w:tabs>
      <w:spacing w:after="240"/>
      <w:ind w:left="425" w:hanging="425"/>
    </w:pPr>
    <w:rPr>
      <w:rFonts w:ascii="Arial" w:eastAsia="Times New Roman" w:hAnsi="Arial" w:cs="Times New Roman"/>
      <w:sz w:val="20"/>
      <w:szCs w:val="20"/>
      <w:lang w:eastAsia="en-GB"/>
    </w:rPr>
  </w:style>
  <w:style w:type="paragraph" w:styleId="a6">
    <w:name w:val="footnote text"/>
    <w:basedOn w:val="a"/>
    <w:link w:val="Char"/>
    <w:unhideWhenUsed/>
    <w:qFormat/>
    <w:rsid w:val="00E67FD1"/>
    <w:pPr>
      <w:spacing w:after="200" w:line="276" w:lineRule="auto"/>
    </w:pPr>
    <w:rPr>
      <w:rFonts w:ascii="Calibri" w:eastAsia="Calibri" w:hAnsi="Calibri" w:cs="Times New Roman"/>
      <w:sz w:val="20"/>
      <w:szCs w:val="20"/>
      <w:lang w:val="el-GR" w:eastAsia="nl-NL" w:bidi="nl-NL"/>
    </w:rPr>
  </w:style>
  <w:style w:type="character" w:customStyle="1" w:styleId="Char">
    <w:name w:val="Κείμενο υποσημείωσης Char"/>
    <w:basedOn w:val="a0"/>
    <w:link w:val="a6"/>
    <w:rsid w:val="00E67FD1"/>
    <w:rPr>
      <w:rFonts w:ascii="Calibri" w:eastAsia="Calibri" w:hAnsi="Calibri" w:cs="Times New Roman"/>
      <w:sz w:val="20"/>
      <w:szCs w:val="20"/>
      <w:lang w:val="el-GR" w:eastAsia="nl-NL" w:bidi="nl-NL"/>
    </w:rPr>
  </w:style>
  <w:style w:type="character" w:styleId="a7">
    <w:name w:val="footnote reference"/>
    <w:rsid w:val="00E67FD1"/>
    <w:rPr>
      <w:vertAlign w:val="superscript"/>
    </w:rPr>
  </w:style>
  <w:style w:type="character" w:styleId="-">
    <w:name w:val="Hyperlink"/>
    <w:basedOn w:val="a0"/>
    <w:uiPriority w:val="99"/>
    <w:unhideWhenUsed/>
    <w:rsid w:val="00E67FD1"/>
    <w:rPr>
      <w:color w:val="0563C1" w:themeColor="hyperlink"/>
      <w:u w:val="single"/>
    </w:rPr>
  </w:style>
  <w:style w:type="paragraph" w:styleId="a8">
    <w:name w:val="Balloon Text"/>
    <w:basedOn w:val="a"/>
    <w:link w:val="Char0"/>
    <w:uiPriority w:val="99"/>
    <w:semiHidden/>
    <w:unhideWhenUsed/>
    <w:rsid w:val="00CE2E3A"/>
    <w:rPr>
      <w:rFonts w:ascii="Tahoma" w:hAnsi="Tahoma" w:cs="Tahoma"/>
      <w:sz w:val="16"/>
      <w:szCs w:val="16"/>
    </w:rPr>
  </w:style>
  <w:style w:type="character" w:customStyle="1" w:styleId="Char0">
    <w:name w:val="Κείμενο πλαισίου Char"/>
    <w:basedOn w:val="a0"/>
    <w:link w:val="a8"/>
    <w:uiPriority w:val="99"/>
    <w:semiHidden/>
    <w:rsid w:val="00CE2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2EC"/>
    <w:pPr>
      <w:ind w:left="720"/>
      <w:contextualSpacing/>
    </w:pPr>
  </w:style>
  <w:style w:type="character" w:styleId="a4">
    <w:name w:val="Emphasis"/>
    <w:basedOn w:val="a0"/>
    <w:uiPriority w:val="20"/>
    <w:qFormat/>
    <w:rsid w:val="0013159E"/>
    <w:rPr>
      <w:i/>
      <w:iCs/>
    </w:rPr>
  </w:style>
  <w:style w:type="character" w:styleId="a5">
    <w:name w:val="Strong"/>
    <w:basedOn w:val="a0"/>
    <w:uiPriority w:val="22"/>
    <w:qFormat/>
    <w:rsid w:val="0013159E"/>
    <w:rPr>
      <w:b/>
      <w:bCs/>
    </w:rPr>
  </w:style>
  <w:style w:type="character" w:customStyle="1" w:styleId="Bold">
    <w:name w:val="Bold"/>
    <w:basedOn w:val="a0"/>
    <w:uiPriority w:val="1"/>
    <w:qFormat/>
    <w:rsid w:val="00E67FD1"/>
    <w:rPr>
      <w:rFonts w:ascii="Arial" w:hAnsi="Arial"/>
      <w:b/>
      <w:sz w:val="20"/>
    </w:rPr>
  </w:style>
  <w:style w:type="paragraph" w:customStyle="1" w:styleId="Arial10">
    <w:name w:val="Arial10"/>
    <w:qFormat/>
    <w:rsid w:val="00E67FD1"/>
    <w:rPr>
      <w:rFonts w:ascii="Arial" w:eastAsia="Times New Roman" w:hAnsi="Arial" w:cs="Times New Roman"/>
      <w:sz w:val="20"/>
      <w:szCs w:val="20"/>
      <w:lang w:eastAsia="en-GB"/>
    </w:rPr>
  </w:style>
  <w:style w:type="paragraph" w:customStyle="1" w:styleId="Arial10After10">
    <w:name w:val="Arial10After10"/>
    <w:basedOn w:val="Arial10"/>
    <w:qFormat/>
    <w:rsid w:val="00E67FD1"/>
    <w:pPr>
      <w:spacing w:after="200"/>
    </w:pPr>
  </w:style>
  <w:style w:type="paragraph" w:customStyle="1" w:styleId="Subject">
    <w:name w:val="Subject"/>
    <w:basedOn w:val="Arial10"/>
    <w:qFormat/>
    <w:rsid w:val="00E67FD1"/>
    <w:pPr>
      <w:tabs>
        <w:tab w:val="left" w:pos="1134"/>
      </w:tabs>
      <w:spacing w:after="240"/>
      <w:ind w:left="1134" w:hanging="1134"/>
    </w:pPr>
  </w:style>
  <w:style w:type="paragraph" w:customStyle="1" w:styleId="Body">
    <w:name w:val="Body"/>
    <w:qFormat/>
    <w:rsid w:val="00E67FD1"/>
    <w:pPr>
      <w:tabs>
        <w:tab w:val="left" w:pos="425"/>
        <w:tab w:val="left" w:pos="851"/>
        <w:tab w:val="left" w:pos="1276"/>
      </w:tabs>
      <w:spacing w:after="240"/>
    </w:pPr>
    <w:rPr>
      <w:rFonts w:ascii="Arial" w:eastAsia="Times New Roman" w:hAnsi="Arial" w:cs="Times New Roman"/>
      <w:sz w:val="20"/>
      <w:szCs w:val="20"/>
      <w:lang w:eastAsia="en-GB"/>
    </w:rPr>
  </w:style>
  <w:style w:type="paragraph" w:customStyle="1" w:styleId="itemList">
    <w:name w:val="itemList"/>
    <w:qFormat/>
    <w:rsid w:val="00E67FD1"/>
    <w:pPr>
      <w:tabs>
        <w:tab w:val="left" w:pos="425"/>
        <w:tab w:val="left" w:pos="851"/>
        <w:tab w:val="left" w:pos="1276"/>
      </w:tabs>
      <w:spacing w:after="240"/>
      <w:ind w:left="425" w:hanging="425"/>
    </w:pPr>
    <w:rPr>
      <w:rFonts w:ascii="Arial" w:eastAsia="Times New Roman" w:hAnsi="Arial" w:cs="Times New Roman"/>
      <w:sz w:val="20"/>
      <w:szCs w:val="20"/>
      <w:lang w:eastAsia="en-GB"/>
    </w:rPr>
  </w:style>
  <w:style w:type="paragraph" w:styleId="a6">
    <w:name w:val="footnote text"/>
    <w:basedOn w:val="a"/>
    <w:link w:val="Char"/>
    <w:unhideWhenUsed/>
    <w:qFormat/>
    <w:rsid w:val="00E67FD1"/>
    <w:pPr>
      <w:spacing w:after="200" w:line="276" w:lineRule="auto"/>
    </w:pPr>
    <w:rPr>
      <w:rFonts w:ascii="Calibri" w:eastAsia="Calibri" w:hAnsi="Calibri" w:cs="Times New Roman"/>
      <w:sz w:val="20"/>
      <w:szCs w:val="20"/>
      <w:lang w:val="el-GR" w:eastAsia="nl-NL" w:bidi="nl-NL"/>
    </w:rPr>
  </w:style>
  <w:style w:type="character" w:customStyle="1" w:styleId="Char">
    <w:name w:val="Κείμενο υποσημείωσης Char"/>
    <w:basedOn w:val="a0"/>
    <w:link w:val="a6"/>
    <w:rsid w:val="00E67FD1"/>
    <w:rPr>
      <w:rFonts w:ascii="Calibri" w:eastAsia="Calibri" w:hAnsi="Calibri" w:cs="Times New Roman"/>
      <w:sz w:val="20"/>
      <w:szCs w:val="20"/>
      <w:lang w:val="el-GR" w:eastAsia="nl-NL" w:bidi="nl-NL"/>
    </w:rPr>
  </w:style>
  <w:style w:type="character" w:styleId="a7">
    <w:name w:val="footnote reference"/>
    <w:rsid w:val="00E67FD1"/>
    <w:rPr>
      <w:vertAlign w:val="superscript"/>
    </w:rPr>
  </w:style>
  <w:style w:type="character" w:styleId="-">
    <w:name w:val="Hyperlink"/>
    <w:basedOn w:val="a0"/>
    <w:uiPriority w:val="99"/>
    <w:unhideWhenUsed/>
    <w:rsid w:val="00E67FD1"/>
    <w:rPr>
      <w:color w:val="0563C1" w:themeColor="hyperlink"/>
      <w:u w:val="single"/>
    </w:rPr>
  </w:style>
  <w:style w:type="paragraph" w:styleId="a8">
    <w:name w:val="Balloon Text"/>
    <w:basedOn w:val="a"/>
    <w:link w:val="Char0"/>
    <w:uiPriority w:val="99"/>
    <w:semiHidden/>
    <w:unhideWhenUsed/>
    <w:rsid w:val="00CE2E3A"/>
    <w:rPr>
      <w:rFonts w:ascii="Tahoma" w:hAnsi="Tahoma" w:cs="Tahoma"/>
      <w:sz w:val="16"/>
      <w:szCs w:val="16"/>
    </w:rPr>
  </w:style>
  <w:style w:type="character" w:customStyle="1" w:styleId="Char0">
    <w:name w:val="Κείμενο πλαισίου Char"/>
    <w:basedOn w:val="a0"/>
    <w:link w:val="a8"/>
    <w:uiPriority w:val="99"/>
    <w:semiHidden/>
    <w:rsid w:val="00CE2E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3050374">
      <w:bodyDiv w:val="1"/>
      <w:marLeft w:val="0"/>
      <w:marRight w:val="0"/>
      <w:marTop w:val="0"/>
      <w:marBottom w:val="0"/>
      <w:divBdr>
        <w:top w:val="none" w:sz="0" w:space="0" w:color="auto"/>
        <w:left w:val="none" w:sz="0" w:space="0" w:color="auto"/>
        <w:bottom w:val="none" w:sz="0" w:space="0" w:color="auto"/>
        <w:right w:val="none" w:sz="0" w:space="0" w:color="auto"/>
      </w:divBdr>
    </w:div>
    <w:div w:id="10878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iles/information-awarding-contract-carry-out-study-integrating-environmental-social-and-governance-esg-objectives-eu-banking-rul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8</Pages>
  <Words>2028</Words>
  <Characters>10956</Characters>
  <Application>Microsoft Office Word</Application>
  <DocSecurity>0</DocSecurity>
  <Lines>91</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Αντώνης Βεντουρής</dc:creator>
  <cp:keywords/>
  <dc:description/>
  <cp:lastModifiedBy>grafeiotypou</cp:lastModifiedBy>
  <cp:revision>26</cp:revision>
  <dcterms:created xsi:type="dcterms:W3CDTF">2020-06-24T10:00:00Z</dcterms:created>
  <dcterms:modified xsi:type="dcterms:W3CDTF">2020-07-13T06:53:00Z</dcterms:modified>
</cp:coreProperties>
</file>