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94" w:rsidRPr="00991694" w:rsidRDefault="00991694" w:rsidP="00991694">
      <w:pPr>
        <w:pStyle w:val="Body"/>
        <w:spacing w:after="0"/>
        <w:jc w:val="both"/>
        <w:rPr>
          <w:rFonts w:ascii="Times New Roman" w:hAnsi="Times New Roman"/>
          <w:sz w:val="24"/>
          <w:szCs w:val="24"/>
        </w:rPr>
      </w:pPr>
      <w:bookmarkStart w:id="0" w:name="_GoBack"/>
      <w:bookmarkEnd w:id="0"/>
      <w:r>
        <w:rPr>
          <w:rFonts w:ascii="Times New Roman" w:hAnsi="Times New Roman"/>
          <w:sz w:val="24"/>
          <w:szCs w:val="24"/>
        </w:rPr>
        <w:t>EL</w:t>
      </w:r>
    </w:p>
    <w:p w:rsidR="00991694" w:rsidRPr="00991694" w:rsidRDefault="00991694" w:rsidP="00991694">
      <w:pPr>
        <w:pStyle w:val="Body"/>
        <w:spacing w:after="0"/>
        <w:jc w:val="both"/>
        <w:rPr>
          <w:rFonts w:ascii="Times New Roman" w:hAnsi="Times New Roman"/>
          <w:sz w:val="24"/>
          <w:szCs w:val="24"/>
        </w:rPr>
      </w:pPr>
      <w:r>
        <w:rPr>
          <w:rFonts w:ascii="Times New Roman" w:hAnsi="Times New Roman"/>
          <w:sz w:val="24"/>
          <w:szCs w:val="24"/>
        </w:rPr>
        <w:t>E-003507/2020</w:t>
      </w:r>
    </w:p>
    <w:p w:rsidR="00991694" w:rsidRPr="00991694" w:rsidRDefault="00991694" w:rsidP="00991694">
      <w:pPr>
        <w:pStyle w:val="Body"/>
        <w:spacing w:after="0"/>
        <w:jc w:val="both"/>
        <w:rPr>
          <w:rFonts w:ascii="Times New Roman" w:hAnsi="Times New Roman"/>
          <w:sz w:val="24"/>
          <w:szCs w:val="24"/>
        </w:rPr>
      </w:pPr>
      <w:r>
        <w:rPr>
          <w:rFonts w:ascii="Times New Roman" w:hAnsi="Times New Roman"/>
          <w:sz w:val="24"/>
          <w:szCs w:val="24"/>
        </w:rPr>
        <w:t>Απάντηση του ύπατου εκπροσώπου/αντιπροέδρου κ. Borrell</w:t>
      </w:r>
    </w:p>
    <w:p w:rsidR="00991694" w:rsidRPr="00991694" w:rsidRDefault="00991694" w:rsidP="00991694">
      <w:pPr>
        <w:pStyle w:val="Body"/>
        <w:spacing w:after="0"/>
        <w:jc w:val="both"/>
        <w:rPr>
          <w:rFonts w:ascii="Times New Roman" w:hAnsi="Times New Roman"/>
          <w:sz w:val="24"/>
          <w:szCs w:val="24"/>
        </w:rPr>
      </w:pPr>
      <w:r>
        <w:rPr>
          <w:rFonts w:ascii="Times New Roman" w:hAnsi="Times New Roman"/>
          <w:sz w:val="24"/>
          <w:szCs w:val="24"/>
        </w:rPr>
        <w:t>εξ ονόματος της Ευρωπαϊκής Επιτροπής</w:t>
      </w:r>
    </w:p>
    <w:p w:rsidR="00991694" w:rsidRPr="00991694" w:rsidRDefault="00991694" w:rsidP="00991694">
      <w:pPr>
        <w:pStyle w:val="Body"/>
        <w:spacing w:after="0"/>
        <w:jc w:val="both"/>
        <w:rPr>
          <w:rFonts w:ascii="Times New Roman" w:hAnsi="Times New Roman"/>
          <w:sz w:val="24"/>
          <w:szCs w:val="24"/>
        </w:rPr>
      </w:pPr>
      <w:r>
        <w:rPr>
          <w:rFonts w:ascii="Times New Roman" w:hAnsi="Times New Roman"/>
          <w:sz w:val="24"/>
          <w:szCs w:val="24"/>
        </w:rPr>
        <w:t>(6.8.2020)</w:t>
      </w:r>
    </w:p>
    <w:p w:rsidR="00991694" w:rsidRDefault="00991694" w:rsidP="00991694">
      <w:pPr>
        <w:pStyle w:val="Body"/>
        <w:spacing w:after="0"/>
        <w:jc w:val="both"/>
        <w:rPr>
          <w:rFonts w:ascii="Times New Roman" w:hAnsi="Times New Roman"/>
          <w:sz w:val="24"/>
          <w:szCs w:val="24"/>
        </w:rPr>
      </w:pPr>
    </w:p>
    <w:p w:rsidR="002A1D6B" w:rsidRPr="00991694" w:rsidRDefault="002A1D6B" w:rsidP="00991694">
      <w:pPr>
        <w:pStyle w:val="Body"/>
        <w:spacing w:after="0"/>
        <w:jc w:val="both"/>
        <w:rPr>
          <w:rFonts w:ascii="Times New Roman" w:hAnsi="Times New Roman"/>
          <w:sz w:val="24"/>
          <w:szCs w:val="24"/>
        </w:rPr>
      </w:pPr>
    </w:p>
    <w:p w:rsidR="00455531" w:rsidRDefault="00455531" w:rsidP="002A1D6B">
      <w:pPr>
        <w:pStyle w:val="Body"/>
        <w:spacing w:after="0"/>
        <w:jc w:val="both"/>
        <w:rPr>
          <w:rFonts w:ascii="Times New Roman" w:hAnsi="Times New Roman"/>
          <w:sz w:val="24"/>
          <w:szCs w:val="24"/>
        </w:rPr>
      </w:pPr>
      <w:r>
        <w:rPr>
          <w:rFonts w:ascii="Times New Roman" w:hAnsi="Times New Roman"/>
          <w:sz w:val="24"/>
          <w:szCs w:val="24"/>
        </w:rPr>
        <w:t>Στις 11 Νοεμβρίου 2019, το Συμβούλιο ενέκρινε πλαίσιο περιοριστικών μέτρων ως απάντηση στις παράνομες γεωτρήσεις της Τουρκίας στην Ανατολική Μεσόγειο</w:t>
      </w:r>
      <w:r>
        <w:rPr>
          <w:rStyle w:val="FootnoteReference"/>
          <w:rFonts w:ascii="Times New Roman" w:hAnsi="Times New Roman" w:cs="Times New Roman"/>
          <w:sz w:val="24"/>
          <w:szCs w:val="24"/>
        </w:rPr>
        <w:footnoteReference w:id="1"/>
      </w:r>
      <w:r>
        <w:rPr>
          <w:rFonts w:ascii="Times New Roman" w:hAnsi="Times New Roman"/>
          <w:sz w:val="24"/>
          <w:szCs w:val="24"/>
        </w:rPr>
        <w:t>. Το πλαίσιο επιτρέπει τη δυνατότητα επιβολής ταξιδιωτικής απαγόρευσης σε φυσικά πρόσωπα και δέσμευσης περιουσιακών στοιχείων σε φυσικά ή νομικά πρόσωπα που ευθύνονται ή συμμετέχουν σε δραστηριότητες γεώτρησης συνδεόμενες με την εξερεύνηση και παραγωγή υδρογονανθράκων, οι οποίες διεξάγονται χωρίς την άδεια της Κύπρου, εντός των χωρικών της υδάτων ή της αποκλειστικής οικονομικής της ζώνης (ΑΟΖ) ή στην υφαλοκρηπίδα της. Στις 27 Φεβρουαρίου 2020, το Συμβούλιο έθεσε δύο φυσικά πρόσωπα υπό περιοριστικά μέτρα</w:t>
      </w:r>
      <w:r>
        <w:rPr>
          <w:rStyle w:val="FootnoteReference"/>
          <w:rFonts w:ascii="Times New Roman" w:hAnsi="Times New Roman" w:cs="Times New Roman"/>
          <w:sz w:val="24"/>
          <w:szCs w:val="24"/>
        </w:rPr>
        <w:footnoteReference w:id="2"/>
      </w:r>
      <w:r>
        <w:rPr>
          <w:rFonts w:ascii="Times New Roman" w:hAnsi="Times New Roman"/>
          <w:sz w:val="24"/>
          <w:szCs w:val="24"/>
        </w:rPr>
        <w:t>.</w:t>
      </w:r>
    </w:p>
    <w:p w:rsidR="002A1D6B" w:rsidRDefault="002A1D6B" w:rsidP="002A1D6B">
      <w:pPr>
        <w:pStyle w:val="Body"/>
        <w:spacing w:after="0"/>
        <w:jc w:val="both"/>
        <w:rPr>
          <w:rFonts w:ascii="Times New Roman" w:hAnsi="Times New Roman"/>
          <w:sz w:val="24"/>
          <w:szCs w:val="24"/>
        </w:rPr>
      </w:pPr>
    </w:p>
    <w:p w:rsidR="00455531" w:rsidRDefault="00455531" w:rsidP="002A1D6B">
      <w:pPr>
        <w:pStyle w:val="NormalWeb"/>
        <w:spacing w:before="0" w:beforeAutospacing="0" w:after="0" w:afterAutospacing="0"/>
        <w:jc w:val="both"/>
      </w:pPr>
      <w:r>
        <w:t>Στις 12 Δεκεμβρίου 2019, το Ευρωπαϊκό Συμβούλιο</w:t>
      </w:r>
      <w:r>
        <w:rPr>
          <w:rStyle w:val="FootnoteReference"/>
          <w:rFonts w:ascii="Times New Roman" w:hAnsi="Times New Roman" w:cs="Times New Roman"/>
          <w:sz w:val="24"/>
        </w:rPr>
        <w:footnoteReference w:id="3"/>
      </w:r>
      <w:r>
        <w:t xml:space="preserve"> υπογράμμισε ότι το μνημόνιο συνεννόησης Τουρκίας-Λιβύης για την οριοθέτηση περιοχών θαλάσσιας δικαιοδοσίας στη Μεσόγειο Θάλασσα παραβιάζει τα κυριαρχικά δικαιώματα τρίτων κρατών, δεν συμμορφώνεται με το δίκαιο της θάλασσας και δεν μπορεί να επιφέρει νομικές συνέπειες για τρίτα κράτη. Επιπλέον, το Συμβούλιο επιβεβαίωσε εκ νέου την αλληλεγγύη του προς την Ελλάδα.</w:t>
      </w:r>
    </w:p>
    <w:p w:rsidR="002A1D6B" w:rsidRDefault="002A1D6B" w:rsidP="002A1D6B">
      <w:pPr>
        <w:pStyle w:val="NormalWeb"/>
        <w:spacing w:before="0" w:beforeAutospacing="0" w:after="0" w:afterAutospacing="0"/>
        <w:jc w:val="both"/>
      </w:pPr>
    </w:p>
    <w:p w:rsidR="00455531" w:rsidRPr="0064088D" w:rsidRDefault="00455531" w:rsidP="002A1D6B">
      <w:pPr>
        <w:pStyle w:val="NormalWeb"/>
        <w:spacing w:before="0" w:beforeAutospacing="0" w:after="0" w:afterAutospacing="0"/>
        <w:jc w:val="both"/>
      </w:pPr>
      <w:r>
        <w:t xml:space="preserve">Σύμφωνα με προηγούμενα συμπεράσματα του Συμβουλίου, η ΕΕ επανέλαβε ότι απαιτούνται συγκεκριμένα μέτρα για τη δημιουργία κλίματος εμπιστοσύνης. </w:t>
      </w:r>
      <w:r>
        <w:rPr>
          <w:shd w:val="clear" w:color="auto" w:fill="FFFFFF"/>
        </w:rPr>
        <w:t>Ζητήματα που σχετίζονται με την οριοθέτηση των αποκλειστικών οικονομικών ζωνών και της υφαλοκρηπίδας θα πρέπει να εξετάζονται μέσω διαλόγου και διαπραγματεύσεων καλή τη πίστει.</w:t>
      </w:r>
      <w:r>
        <w:t xml:space="preserve"> </w:t>
      </w:r>
    </w:p>
    <w:p w:rsidR="002A1D6B" w:rsidRDefault="002A1D6B" w:rsidP="002A1D6B">
      <w:pPr>
        <w:pStyle w:val="NormalWeb"/>
        <w:spacing w:before="0" w:beforeAutospacing="0" w:after="0" w:afterAutospacing="0"/>
        <w:jc w:val="both"/>
      </w:pPr>
    </w:p>
    <w:p w:rsidR="00455531" w:rsidRPr="0064088D" w:rsidRDefault="00455531" w:rsidP="002A1D6B">
      <w:pPr>
        <w:pStyle w:val="NormalWeb"/>
        <w:spacing w:before="0" w:beforeAutospacing="0" w:after="0" w:afterAutospacing="0"/>
        <w:jc w:val="both"/>
      </w:pPr>
      <w:r>
        <w:t>Δυστυχώς, οι πρόσφατες κλιμακούμενες ενέργειες της Τουρκίας κινούνται προς την αντίθετη κατεύθυνση.</w:t>
      </w:r>
    </w:p>
    <w:p w:rsidR="002A1D6B" w:rsidRDefault="002A1D6B" w:rsidP="002A1D6B">
      <w:pPr>
        <w:pStyle w:val="Body"/>
        <w:spacing w:after="0"/>
        <w:jc w:val="both"/>
        <w:rPr>
          <w:rFonts w:ascii="Times New Roman" w:hAnsi="Times New Roman"/>
          <w:sz w:val="24"/>
          <w:szCs w:val="24"/>
        </w:rPr>
      </w:pPr>
    </w:p>
    <w:p w:rsidR="00455531" w:rsidRDefault="00455531" w:rsidP="002A1D6B">
      <w:pPr>
        <w:pStyle w:val="Body"/>
        <w:spacing w:after="0"/>
        <w:jc w:val="both"/>
        <w:rPr>
          <w:rFonts w:ascii="Times New Roman" w:hAnsi="Times New Roman"/>
          <w:sz w:val="24"/>
          <w:szCs w:val="24"/>
          <w:shd w:val="clear" w:color="auto" w:fill="FFFFFF"/>
        </w:rPr>
      </w:pPr>
      <w:r>
        <w:rPr>
          <w:rFonts w:ascii="Times New Roman" w:hAnsi="Times New Roman"/>
          <w:sz w:val="24"/>
          <w:szCs w:val="24"/>
        </w:rPr>
        <w:t xml:space="preserve">Η ΕΕ έχει εκφράσει τη λύπη της για το γεγονός ότι η Τουρκία δεν έχει ακόμη απαντήσει στα επανειλημμένα αιτήματα της ΕΕ για παύση αυτών των δραστηριοτήτων. </w:t>
      </w:r>
      <w:r>
        <w:rPr>
          <w:rFonts w:ascii="Times New Roman" w:hAnsi="Times New Roman"/>
          <w:sz w:val="24"/>
          <w:szCs w:val="24"/>
          <w:shd w:val="clear" w:color="auto" w:fill="FFFFFF"/>
        </w:rPr>
        <w:t>Η Τουρκία θα πρέπει να αποφεύγει να διατυπώνει απειλές και να προβαίνει σε ενέργειες που βλάπτουν τις σχέσεις καλής γειτονίας. Θα πρέπει, αντιθέτως, να σέβεται το διεθνές δίκαιο, συμπεριλαμβανομένου του δικαίου της θάλασσας, και ιδίως την κυριαρχία όλων των κρατών μελών της ΕΕ επί των χωρικών τους υδάτων, καθώς και τα κυριαρχικά τους δικαιώματα στις θαλάσσιες ζώνες τους, συμπεριλαμβανομένων εκείνων που δημιουργούνται από τα νησιά.</w:t>
      </w:r>
    </w:p>
    <w:p w:rsidR="00455531" w:rsidRPr="002A1D6B" w:rsidRDefault="00455531" w:rsidP="002A1D6B">
      <w:pPr>
        <w:pStyle w:val="Body"/>
        <w:spacing w:after="0"/>
        <w:rPr>
          <w:rFonts w:ascii="Times New Roman" w:hAnsi="Times New Roman"/>
          <w:sz w:val="24"/>
          <w:szCs w:val="24"/>
        </w:rPr>
      </w:pPr>
    </w:p>
    <w:sectPr w:rsidR="00455531" w:rsidRPr="002A1D6B">
      <w:headerReference w:type="even" r:id="rId6"/>
      <w:headerReference w:type="default" r:id="rId7"/>
      <w:footerReference w:type="even" r:id="rId8"/>
      <w:footerReference w:type="default" r:id="rId9"/>
      <w:headerReference w:type="first" r:id="rId10"/>
      <w:footerReference w:type="first" r:id="rId11"/>
      <w:pgSz w:w="11906" w:h="16838"/>
      <w:pgMar w:top="1440" w:right="1440" w:bottom="2000" w:left="1440" w:header="568"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C5" w:rsidRDefault="003468C5">
      <w:pPr>
        <w:spacing w:after="0"/>
      </w:pPr>
      <w:r>
        <w:separator/>
      </w:r>
    </w:p>
  </w:endnote>
  <w:endnote w:type="continuationSeparator" w:id="0">
    <w:p w:rsidR="003468C5" w:rsidRDefault="00346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49" w:rsidRPr="002A1D6B" w:rsidRDefault="007B5249" w:rsidP="002A1D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49" w:rsidRPr="002A1D6B" w:rsidRDefault="007B5249" w:rsidP="002A1D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49" w:rsidRPr="002A1D6B" w:rsidRDefault="007B5249" w:rsidP="002A1D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C5" w:rsidRDefault="003468C5">
      <w:pPr>
        <w:spacing w:after="0"/>
      </w:pPr>
      <w:r>
        <w:separator/>
      </w:r>
    </w:p>
  </w:footnote>
  <w:footnote w:type="continuationSeparator" w:id="0">
    <w:p w:rsidR="003468C5" w:rsidRDefault="003468C5">
      <w:pPr>
        <w:spacing w:after="0"/>
      </w:pPr>
      <w:r>
        <w:continuationSeparator/>
      </w:r>
    </w:p>
  </w:footnote>
  <w:footnote w:id="1">
    <w:p w:rsidR="000D5459" w:rsidRPr="000B0259" w:rsidRDefault="00455531" w:rsidP="00455531">
      <w:pPr>
        <w:pStyle w:val="Body"/>
        <w:spacing w:after="0"/>
        <w:jc w:val="both"/>
        <w:rPr>
          <w:rFonts w:ascii="Times New Roman" w:hAnsi="Times New Roman"/>
        </w:rPr>
      </w:pPr>
      <w:r>
        <w:rPr>
          <w:rStyle w:val="FootnoteReference"/>
          <w:rFonts w:ascii="Times New Roman" w:hAnsi="Times New Roman" w:cs="Times New Roman"/>
          <w:sz w:val="20"/>
        </w:rPr>
        <w:footnoteRef/>
      </w:r>
      <w:r w:rsidR="000D5459">
        <w:rPr>
          <w:rFonts w:ascii="Times New Roman" w:hAnsi="Times New Roman"/>
          <w:lang w:val="en-GB"/>
        </w:rPr>
        <w:t xml:space="preserve"> </w:t>
      </w:r>
      <w:hyperlink r:id="rId1" w:history="1">
        <w:r w:rsidR="000D5459" w:rsidRPr="004F0B22">
          <w:rPr>
            <w:rStyle w:val="Hyperlink"/>
            <w:rFonts w:ascii="Times New Roman" w:hAnsi="Times New Roman"/>
          </w:rPr>
          <w:t>https://eur-lex.europa.eu/legal-content/EL/TXT/?qid=1596701843972&amp;uri=CELEX%3A32019D1894</w:t>
        </w:r>
      </w:hyperlink>
    </w:p>
  </w:footnote>
  <w:footnote w:id="2">
    <w:p w:rsidR="002A1D6B" w:rsidRPr="002A1D6B" w:rsidRDefault="00455531" w:rsidP="007766D9">
      <w:pPr>
        <w:pStyle w:val="FootnoteText"/>
        <w:ind w:left="283"/>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hyperlink r:id="rId2" w:history="1">
        <w:r>
          <w:rPr>
            <w:rStyle w:val="Hyperlink"/>
            <w:rFonts w:ascii="Times New Roman" w:hAnsi="Times New Roman"/>
            <w:sz w:val="20"/>
          </w:rPr>
          <w:t>https://op.europa.eu/en/publication-detail/-/publication/41187d1d-5979-11ea-8b81-01aa75ed71a1</w:t>
        </w:r>
      </w:hyperlink>
      <w:r>
        <w:rPr>
          <w:rFonts w:ascii="Times New Roman" w:hAnsi="Times New Roman"/>
          <w:sz w:val="20"/>
        </w:rPr>
        <w:t>.</w:t>
      </w:r>
    </w:p>
  </w:footnote>
  <w:footnote w:id="3">
    <w:p w:rsidR="00455531" w:rsidRDefault="00455531" w:rsidP="007150E1">
      <w:pPr>
        <w:pStyle w:val="FootnoteText"/>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hyperlink r:id="rId3" w:history="1">
        <w:r w:rsidR="007150E1" w:rsidRPr="007150E1">
          <w:rPr>
            <w:rStyle w:val="Hyperlink"/>
            <w:rFonts w:ascii="Times New Roman" w:hAnsi="Times New Roman"/>
            <w:sz w:val="20"/>
          </w:rPr>
          <w:t>https://www.consilium.europa.eu/media/41780/12-euco-final-conclusions-el.pdf</w:t>
        </w:r>
      </w:hyperlink>
    </w:p>
    <w:p w:rsidR="002A1D6B" w:rsidRPr="00A17AA9" w:rsidRDefault="002A1D6B" w:rsidP="002A1D6B">
      <w:pPr>
        <w:pStyle w:val="FootnoteText"/>
        <w:ind w:left="0" w:firstLine="0"/>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B" w:rsidRDefault="002A1D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B" w:rsidRDefault="002A1D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B" w:rsidRDefault="002A1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77B3E"/>
    <w:rsid w:val="000D5459"/>
    <w:rsid w:val="002A1D6B"/>
    <w:rsid w:val="003468C5"/>
    <w:rsid w:val="00455531"/>
    <w:rsid w:val="006E3F14"/>
    <w:rsid w:val="007150E1"/>
    <w:rsid w:val="00742F3B"/>
    <w:rsid w:val="007766D9"/>
    <w:rsid w:val="007B5249"/>
    <w:rsid w:val="00991694"/>
    <w:rsid w:val="00A77B3E"/>
    <w:rsid w:val="00CA2A55"/>
    <w:rsid w:val="00CB2EE1"/>
    <w:rsid w:val="00D8398F"/>
    <w:rsid w:val="00DB7B3F"/>
    <w:rsid w:val="00F26C1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NormalWeb">
    <w:name w:val="Normal (Web)"/>
    <w:basedOn w:val="Normal"/>
    <w:uiPriority w:val="99"/>
    <w:unhideWhenUsed/>
    <w:rsid w:val="00455531"/>
    <w:pPr>
      <w:widowControl/>
      <w:tabs>
        <w:tab w:val="clear" w:pos="425"/>
        <w:tab w:val="clear" w:pos="851"/>
        <w:tab w:val="clear" w:pos="1276"/>
      </w:tabs>
      <w:spacing w:before="100" w:beforeAutospacing="1" w:after="100" w:afterAutospacing="1"/>
    </w:pPr>
    <w:rPr>
      <w:rFonts w:ascii="Times New Roman" w:hAnsi="Times New Roman"/>
      <w:sz w:val="24"/>
      <w:szCs w:val="24"/>
    </w:rPr>
  </w:style>
  <w:style w:type="character" w:customStyle="1" w:styleId="FootnoteTextChar">
    <w:name w:val="Footnote Text Char"/>
    <w:basedOn w:val="DefaultParagraphFont"/>
    <w:link w:val="FootnoteText"/>
    <w:semiHidden/>
    <w:rsid w:val="00455531"/>
    <w:rPr>
      <w:rFonts w:ascii="Arial" w:hAnsi="Arial"/>
      <w:sz w:val="18"/>
    </w:rPr>
  </w:style>
  <w:style w:type="character" w:styleId="Strong">
    <w:name w:val="Strong"/>
    <w:basedOn w:val="DefaultParagraphFont"/>
    <w:uiPriority w:val="22"/>
    <w:qFormat/>
    <w:rsid w:val="00455531"/>
    <w:rPr>
      <w:b/>
      <w:bCs/>
    </w:rPr>
  </w:style>
  <w:style w:type="character" w:styleId="FollowedHyperlink">
    <w:name w:val="FollowedHyperlink"/>
    <w:basedOn w:val="DefaultParagraphFont"/>
    <w:semiHidden/>
    <w:unhideWhenUsed/>
    <w:rsid w:val="002A1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41780/12-euco-final-conclusions-el.pdf" TargetMode="External"/><Relationship Id="rId2" Type="http://schemas.openxmlformats.org/officeDocument/2006/relationships/hyperlink" Target="https://op.europa.eu/el/publication-detail/-/publication/41187d1d-5979-11ea-8b81-01aa75ed71a1" TargetMode="External"/><Relationship Id="rId1" Type="http://schemas.openxmlformats.org/officeDocument/2006/relationships/hyperlink" Target="https://eur-lex.europa.eu/legal-content/EL/TXT/?qid=1596701843972&amp;uri=CELEX%3A32019D1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2020-08-07T07:31:00Z</dcterms:created>
  <dcterms:modified xsi:type="dcterms:W3CDTF">2020-08-07T07:31:00Z</dcterms:modified>
</cp:coreProperties>
</file>