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45720</wp:posOffset>
            </wp:positionH>
            <wp:positionV relativeFrom="line">
              <wp:posOffset>-36195</wp:posOffset>
            </wp:positionV>
            <wp:extent cx="6614795" cy="1559561"/>
            <wp:effectExtent l="0" t="0" r="0" b="0"/>
            <wp:wrapSquare wrapText="largest" distL="0" distR="0" distT="0" distB="0"/>
            <wp:docPr id="1073741825" name="officeArt object" descr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" descr="Pictur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4795" cy="15595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Θεσσαλονίκη  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03/11/2020                                                                                                                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Αρ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Πρωτοκόλλου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2109 </w:t>
      </w:r>
    </w:p>
    <w:p>
      <w:pPr>
        <w:pStyle w:val="Normal.0"/>
        <w:spacing w:after="0" w:line="240" w:lineRule="auto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Προς την Βουλευτή του ΣΥΡΙΖΑ κυρία Κυριακή Μάλαμα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pacing w:after="0" w:line="240" w:lineRule="auto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b w:val="1"/>
          <w:bCs w:val="1"/>
          <w:outline w:val="0"/>
          <w:color w:val="222222"/>
          <w:u w:val="single"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Βασικός επιγραμματικός οδηγός για τα προβλήματα του κλάδου των μουσικών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                                                                                                   </w:t>
      </w:r>
    </w:p>
    <w:p>
      <w:pPr>
        <w:pStyle w:val="Normal.0"/>
        <w:spacing w:after="0" w:line="240" w:lineRule="auto"/>
        <w:rPr>
          <w:sz w:val="32"/>
          <w:szCs w:val="32"/>
        </w:rPr>
      </w:pPr>
      <w:r>
        <w:rPr>
          <w:sz w:val="32"/>
          <w:szCs w:val="32"/>
          <w:rtl w:val="0"/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01.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Οι πρώτοι δικαιούχοι του επιδόματος ειδικού σκοπού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με επιδότηση ενοικίου και επιδότηση ασφάλισης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Μαρτίου Απριλίου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800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 xml:space="preserve">€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+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Μαΐου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534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:lang w:val="pt-PT"/>
          <w14:textFill>
            <w14:solidFill>
              <w14:srgbClr w14:val="222222"/>
            </w14:solidFill>
          </w14:textFill>
        </w:rPr>
        <w:t>€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),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ήταν μόνο όσοι είχαν συμβάσεις αορίστου χρόνου από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1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ως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20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Μαρτίου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2020.</w:t>
      </w:r>
      <w:r>
        <w:rPr>
          <w:rFonts w:ascii="Cambria" w:cs="Cambria" w:hAnsi="Cambria" w:eastAsia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br w:type="textWrapping"/>
        <w:t xml:space="preserve">Όσοι εντάχθηκαν με τις επόμενες ΚΥΑ </w:t>
      </w:r>
      <w:r>
        <w:rPr>
          <w:rFonts w:ascii="Cambria" w:hAnsi="Cambria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(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συμβάσεις ορισμένου χρόνου από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15/02 - 20/03,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αποδέκτες εποχικού επιδόματος το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2019,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με ασφαλιστική κάλυψη μέσα στο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2020)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πήραν μόνο τα </w:t>
      </w:r>
      <w:r>
        <w:rPr>
          <w:rFonts w:ascii="Cambria" w:hAnsi="Cambria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800,00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ευρώ χωρίς επιδότηση ενοικίου και κατά παράβαση του νόμου βάσει του οποίου βγήκαν οι ΚΥΑ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χωρίς ασφαλιστική κάλυψη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Η αναλογία των μουσικών που είχαν συμβάσεις αορίστου χρόνου ως προς αυτούς που είχαν ορισμένου χρόνου είναι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35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προς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65%.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02.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Ο ΚΑΔ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90031000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Καλλιτεχνική Δημιουργία εξαιρέθηκε ξαφνικά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χωρίς κανένα λόγο από την επιδοματική ενίσχυση των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534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ευρώ για τον μήνα Ιούνιο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03.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Για τον Ιούλιο και τον Αύγουστο δεν υπήρξε καμμία μέριμνα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ενώ δεν έγιναν στην πραγματικότητα ούτε πανηγύρια ούτε εκδηλώσεις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Τις ακυρώσεις τις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"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ανέλαβαν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"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οι Δήμοι και οι Περιφέρειες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ούτως ώστε να μην πάρει την ευθύνη ή κεντρική κυβέρνηση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04.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Πολλά παραρτήματα ΟΑΕΔ αρνούνται να εγκρίνουν το εποχικό επίδομα με αιτιολογία ότι υπάρχει απόλυση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Επίσης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: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Απορρίπτουν μουσικούς από το εποχικό επίδομα γιατί έχουν κωδικό ειδικότητας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277020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ή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277040 (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Ηθοποιοί θεάτρου πρόζας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μουσικού θεάτρου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υποβολείς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ΜΟΥΣΙΚΟΙ ΕΓΧΌΡΔΩΝ ΚΑΙ ΚΡΟΥΣΤΏΝ ΟΡΓΆΝΩΝ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προσωπικό σκηνής για την απασχόληση τους στο θέατρο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γιατί δεν τα αναγνωρίζουν σαν ένσημα μουσικών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ενώ τα θέατρα δεν μπορούν να ασφαλίσουν μουσικούς με άλλον κωδικό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Είχαμε ενημερώσει τον προϊστάμενο του ΟΑΕΔ στην γενική διεύθυνση στην Αθήνα τον κύριο Κιάμο με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 xml:space="preserve">mail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από τις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27/08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για αυτό το ζήτημα και ακόμα περιμένουμε απάντηση του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05.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Όσοι είναι άνεργοι έχουν δικαίωμα να κάνουν μέχρι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12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ημερομίσθια ανά μήνα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τα οποία αφαιρούνται ανάλογα από τα ημερομίσθια επιδότησης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ή αν δεν υπάρχει επιδότηση δεν χάνουν την ιδιότητα του ανέργου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Με τροπολογία που έγινε από την προηγούμενη κυβέρνηση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τους αναγκάζουν ακόμα και με ένα ημερομίσθιο να καταθέτουν ξανά όλα τα δικαιολογητικά από την αρχή και να χάνουν την κάρτα ανεργίας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Ακόμα και οι υπάλληλοι του ΟΑΕΔ δυσανασχετούν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!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06.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Οι μουσικοί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βάσει του Ν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1296/82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άρθρο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4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παρ</w:t>
      </w:r>
      <w:r>
        <w:rPr>
          <w:rFonts w:ascii="Cambria" w:hAnsi="Cambria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.1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όπως τροποποιήθηκε με τον Ν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1469/84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άρθρο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40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και τον Ν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3863/2010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άρθρο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18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παρ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2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και την εγκύκλιο του ΙΚΑ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81/2010,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είναι υποχρεωτικά ασφαλισμένοι στο ΙΚΑ και ανήκουν βάσει τεκμαρτού εισοδήματος στην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12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η ασφαλιστική κλάση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Αυτό σημαίνει ότι όταν έχουν μπλόκ παροχής υπηρεσιών</w:t>
      </w:r>
      <w:r>
        <w:rPr>
          <w:rFonts w:ascii="Cambria" w:hAnsi="Cambria"/>
          <w:outline w:val="0"/>
          <w:color w:val="222222"/>
          <w:u w:color="222222"/>
          <w:rtl w:val="0"/>
          <w:lang w:val="de-DE"/>
          <w14:textFill>
            <w14:solidFill>
              <w14:srgbClr w14:val="222222"/>
            </w14:solidFill>
          </w14:textFill>
        </w:rPr>
        <w:t xml:space="preserve">, (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δηλ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είναι δηλωμένοι ως επιτηδευματίες στην ΔΟΥ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η εκάστοτε αμοιβή τους διαιρείται με το τεκμαρτό της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12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ης κλάσης και από αυτή την διαίρεση προκύπτουν τα ένσημα του ασφαλιζόμενου τα οποία πάντοτε είναι πολλά περισσότερα από </w:t>
      </w:r>
      <w:r>
        <w:rPr>
          <w:rFonts w:ascii="Cambria" w:hAnsi="Cambria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1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ένσημο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Εάν όμως δεν διαθέτουν μπλόκ και έχουν πρόσληψη απόλυση για την ίδια δουλειά ανεξαρτήτως ύψους αποδοχών έχουν </w:t>
      </w:r>
      <w:r>
        <w:rPr>
          <w:rFonts w:ascii="Cambria" w:hAnsi="Cambria"/>
          <w:outline w:val="0"/>
          <w:color w:val="222222"/>
          <w:u w:color="222222"/>
          <w:rtl w:val="0"/>
          <w:lang w:val="ru-RU"/>
          <w14:textFill>
            <w14:solidFill>
              <w14:srgbClr w14:val="222222"/>
            </w14:solidFill>
          </w14:textFill>
        </w:rPr>
        <w:t xml:space="preserve">1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και μόνο ένσημο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Με την εφαρμογή του τέλους επιτηδεύματος και του ΦΠΑ και στους μουσικούς το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95%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των μουσικών κατάργησαν το μπλόκ γιατί το κόστος συντήρησης του ήταν δυσανάλογο των αμοιβών που προκύπταν</w:t>
      </w:r>
      <w:r>
        <w:rPr>
          <w:rFonts w:ascii="Cambria" w:hAnsi="Cambria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. ( 650,00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ευρώ τέλος επιτηδεύματος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κόστος λογιστή για την παρακολούθηση και τις δηλώσεις ΦΠΑ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σαν αποτέλεσμα αυτού του γεγονότος οι εκάστοτε επιχειρηματίες ασφαλίζουν τους μουσικούς με βάσει μόνο το τεκμαρτό ημερομίσθιο με συνέπεια να χάνονται πολλές ασφαλιστικές εισφορές και δεύτερο να προωθείται η φοροδιαφυγή γιατί οι ιδιώτες που συναλλάσσονται με τους μουσικούς 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μαθητές διαφόρων οργάνων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)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αρνούνται να δεχτούν απόδειξη για να μην επωμισθούν την αξία του ΦΠΑ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Για αυτούς τους λόγους ζητούμε και την κατάργηση και του τέλους επιτηδεύματος και του ΦΠΑ στους μουσικούς</w:t>
      </w:r>
      <w:r>
        <w:rPr>
          <w:rFonts w:ascii="Cambria" w:hAnsi="Cambria"/>
          <w:outline w:val="0"/>
          <w:color w:val="222222"/>
          <w:u w:color="222222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Πως είναι δυνατόν αφού ο μουσικός βρίσκεται σε εξαρτημένη σχέση εργασίας βάσει νόμου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να πληρώνει τέλος επιτηδεύματος και να αποδίδει ΦΠΑ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;</w:t>
      </w:r>
      <w:r>
        <w:rPr>
          <w:rFonts w:ascii="Cambria" w:cs="Cambria" w:hAnsi="Cambria" w:eastAsia="Cambria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  <w:br w:type="textWrapping"/>
        <w:br w:type="textWrapping"/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07.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Οι περισσότεροι μουσικοί εργάζονται σε επιχειρήσεις εστίασης με συμβάσεις ορισμένου χρόνου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μιας ημέρας ή με αορίστου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αλλά χωρίς πλήρη απασχόληση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Το πρόγραμμα Συνεργασία που επικαλείται η κυβέρνηση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σε καμμία περίπτωση δεν μπορεί να συμπεριλάβει προσλήψεις μουσικών στην εστίαση διότι αφορά μόνον σε πλήρη απασχόληση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(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πενθήμερο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οκτάωρο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).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Αποτέλεσμα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: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Όταν άνοιξε η εστίαση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οι εργοδότες με την μισή πληρότητα και ωράριο μέχρι τις 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12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το βράδυ δεν προσέλαβαν μουσικούς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rFonts w:ascii="Cambria" w:hAnsi="Cambria" w:hint="default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γιατί απλά ήταν ασύμφορο</w:t>
      </w:r>
      <w:r>
        <w:rPr>
          <w:rFonts w:ascii="Cambria" w:hAnsi="Cambria"/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.</w:t>
      </w:r>
    </w:p>
    <w:p>
      <w:pPr>
        <w:pStyle w:val="Normal.0"/>
        <w:spacing w:after="0" w:line="240" w:lineRule="auto"/>
        <w:rPr>
          <w:rFonts w:ascii="Cambria" w:cs="Cambria" w:hAnsi="Cambria" w:eastAsia="Cambria"/>
          <w:outline w:val="0"/>
          <w:color w:val="222222"/>
          <w:u w:color="222222"/>
          <w:shd w:val="clear" w:color="auto" w:fill="ffffff"/>
          <w14:textFill>
            <w14:solidFill>
              <w14:srgbClr w14:val="222222"/>
            </w14:solidFill>
          </w14:textFill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08.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Ζητούμε εδώ και επτά μήνες από τον ΣΥΡΙΖΑ να πάρει τα στοιχεία του συστήματος Εργάνη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για να συγκρίνουμε των αριθμό των συμβάσεων ορισμένου χρόνου και αορίστου χρόνου στον χώρο των μουσικών και γενικότερα στο θέαμα ακρόαμα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.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Από εκεί θα μπορέσουμε να βρούμε τους </w:t>
      </w:r>
      <w:r>
        <w:rPr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"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αόρατους εργαζόμενους</w:t>
      </w:r>
      <w:r>
        <w:rPr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 xml:space="preserve">".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Κατά την άποψή μας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είναι το εργαλείο που χρησιμοποιεί η κυβέρνηση για να ψαλιδίζει μονίμως τους δικαιούχους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 xml:space="preserve">,  </w:t>
      </w:r>
      <w:r>
        <w:rPr>
          <w:outline w:val="0"/>
          <w:color w:val="222222"/>
          <w:u w:color="222222"/>
          <w:shd w:val="clear" w:color="auto" w:fill="ffffff"/>
          <w:rtl w:val="0"/>
          <w14:textFill>
            <w14:solidFill>
              <w14:srgbClr w14:val="222222"/>
            </w14:solidFill>
          </w14:textFill>
        </w:rPr>
        <w:t>Δυστυχώς δεν έχει γίνει απολύτως τίποτα</w:t>
      </w:r>
      <w:r>
        <w:rPr>
          <w:outline w:val="0"/>
          <w:color w:val="222222"/>
          <w:u w:color="222222"/>
          <w:shd w:val="clear" w:color="auto" w:fill="ffffff"/>
          <w:rtl w:val="0"/>
          <w:lang w:val="ru-RU"/>
          <w14:textFill>
            <w14:solidFill>
              <w14:srgbClr w14:val="222222"/>
            </w14:solidFill>
          </w14:textFill>
        </w:rPr>
        <w:t>!</w:t>
      </w: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Ο Πρόεδρος                                                                                     Ο Γ</w:t>
      </w:r>
      <w:r>
        <w:rPr>
          <w:b w:val="1"/>
          <w:bCs w:val="1"/>
          <w:rtl w:val="0"/>
        </w:rPr>
        <w:t xml:space="preserve">. </w:t>
      </w:r>
      <w:r>
        <w:rPr>
          <w:b w:val="1"/>
          <w:bCs w:val="1"/>
          <w:rtl w:val="0"/>
        </w:rPr>
        <w:t>Γραμματέας</w:t>
      </w:r>
    </w:p>
    <w:p>
      <w:pPr>
        <w:pStyle w:val="Normal.0"/>
        <w:spacing w:after="0" w:line="240" w:lineRule="auto"/>
      </w:pPr>
      <w:r>
        <w:rPr>
          <w:rtl w:val="0"/>
        </w:rPr>
        <w:t>Πέτρος Καράλης                                                                            Θόδωρος Χριστόπουλος</w:t>
      </w:r>
    </w:p>
    <w:p>
      <w:pPr>
        <w:pStyle w:val="Normal.0"/>
        <w:spacing w:after="0" w:line="240" w:lineRule="auto"/>
      </w:pPr>
    </w:p>
    <w:p>
      <w:pPr>
        <w:pStyle w:val="Normal.0"/>
        <w:spacing w:after="0"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Τα μέλη του Δ</w:t>
      </w:r>
      <w:r>
        <w:rPr>
          <w:b w:val="1"/>
          <w:bCs w:val="1"/>
          <w:rtl w:val="0"/>
        </w:rPr>
        <w:t>.</w:t>
      </w:r>
      <w:r>
        <w:rPr>
          <w:b w:val="1"/>
          <w:bCs w:val="1"/>
          <w:rtl w:val="0"/>
        </w:rPr>
        <w:t>Σ</w:t>
      </w:r>
      <w:r>
        <w:rPr>
          <w:b w:val="1"/>
          <w:bCs w:val="1"/>
          <w:rtl w:val="0"/>
        </w:rPr>
        <w:t>.</w:t>
      </w:r>
    </w:p>
    <w:p>
      <w:pPr>
        <w:pStyle w:val="Normal.0"/>
        <w:spacing w:after="0" w:line="240" w:lineRule="auto"/>
      </w:pPr>
      <w:r>
        <w:rPr>
          <w:rtl w:val="0"/>
        </w:rPr>
        <w:t>Δημήτρης Ζερβουδάκης</w:t>
      </w:r>
      <w:r>
        <w:rPr>
          <w:rtl w:val="0"/>
        </w:rPr>
        <w:t xml:space="preserve">, </w:t>
      </w:r>
      <w:r>
        <w:rPr>
          <w:rtl w:val="0"/>
        </w:rPr>
        <w:t>Χαράλαμπος Γιαγκούδης</w:t>
      </w:r>
      <w:r>
        <w:rPr>
          <w:rtl w:val="0"/>
        </w:rPr>
        <w:t xml:space="preserve">, </w:t>
      </w:r>
      <w:r>
        <w:rPr>
          <w:rtl w:val="0"/>
        </w:rPr>
        <w:t>Μαίρη Δούτση</w:t>
      </w:r>
      <w:r>
        <w:rPr>
          <w:rtl w:val="0"/>
        </w:rPr>
        <w:t xml:space="preserve">, </w:t>
      </w:r>
      <w:r>
        <w:rPr>
          <w:rtl w:val="0"/>
        </w:rPr>
        <w:t>Χριστίνα Κωστάκη</w:t>
      </w:r>
      <w:r>
        <w:rPr>
          <w:rtl w:val="0"/>
        </w:rPr>
        <w:t xml:space="preserve">, </w:t>
      </w:r>
      <w:r>
        <w:rPr>
          <w:rtl w:val="0"/>
        </w:rPr>
        <w:t>Κοσμάς Σαρηγιαννίδης</w:t>
      </w:r>
    </w:p>
    <w:p>
      <w:pPr>
        <w:pStyle w:val="Normal.0"/>
        <w:spacing w:after="0" w:line="240" w:lineRule="auto"/>
      </w:pPr>
      <w:r>
        <w:rPr>
          <w:rtl w:val="0"/>
        </w:rPr>
        <w:t>Θανάσης Μηλιώκας</w:t>
      </w:r>
      <w:r>
        <w:rPr>
          <w:rtl w:val="0"/>
        </w:rPr>
        <w:t xml:space="preserve">, </w:t>
      </w:r>
      <w:r>
        <w:rPr>
          <w:rtl w:val="0"/>
        </w:rPr>
        <w:t>Δημήτρης Σφίγγος</w:t>
      </w:r>
      <w:r/>
    </w:p>
    <w:sectPr>
      <w:headerReference w:type="default" r:id="rId5"/>
      <w:footerReference w:type="default" r:id="rId6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Κεφαλίδα και υποσέλιδ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Θέμα του Office">
  <a:themeElements>
    <a:clrScheme name="Θέμα του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Θέμα του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Θέμα του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