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C2AA" w14:textId="77777777" w:rsidR="00766D54" w:rsidRPr="0065753E" w:rsidRDefault="00766D54" w:rsidP="004E6DF3">
      <w:pPr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b/>
          <w:sz w:val="22"/>
          <w:szCs w:val="22"/>
        </w:rPr>
        <w:t>MONIMH</w:t>
      </w:r>
      <w:r w:rsidRPr="0065753E">
        <w:rPr>
          <w:rFonts w:ascii="Times New Roman" w:hAnsi="Times New Roman" w:cs="Times New Roman"/>
          <w:b/>
          <w:sz w:val="22"/>
          <w:szCs w:val="22"/>
          <w:lang w:val="el-GR"/>
        </w:rPr>
        <w:t xml:space="preserve"> ΕΛΛΗΝΙΚΗ ΑΝΤΙΠΡΟΣΩΠΕΙΑ</w:t>
      </w:r>
    </w:p>
    <w:p w14:paraId="1EEEF1CA" w14:textId="77777777" w:rsidR="00766D54" w:rsidRPr="0065753E" w:rsidRDefault="00766D54" w:rsidP="004E6DF3">
      <w:pPr>
        <w:pStyle w:val="Standard"/>
        <w:rPr>
          <w:sz w:val="22"/>
          <w:szCs w:val="22"/>
          <w:lang w:val="el-GR"/>
        </w:rPr>
      </w:pPr>
      <w:r w:rsidRPr="0065753E">
        <w:rPr>
          <w:b/>
          <w:bCs/>
          <w:sz w:val="22"/>
          <w:szCs w:val="22"/>
          <w:lang w:val="el-GR"/>
        </w:rPr>
        <w:t xml:space="preserve">ΣΤΗΝ </w:t>
      </w:r>
      <w:proofErr w:type="spellStart"/>
      <w:r w:rsidRPr="0065753E">
        <w:rPr>
          <w:b/>
          <w:bCs/>
          <w:sz w:val="22"/>
          <w:szCs w:val="22"/>
          <w:lang w:val="el-GR"/>
        </w:rPr>
        <w:t>ΕΥΡΩΠΑΪΚΗ</w:t>
      </w:r>
      <w:proofErr w:type="spellEnd"/>
      <w:r w:rsidRPr="0065753E">
        <w:rPr>
          <w:b/>
          <w:bCs/>
          <w:sz w:val="22"/>
          <w:szCs w:val="22"/>
          <w:lang w:val="el-GR"/>
        </w:rPr>
        <w:t xml:space="preserve"> ΕΝΩΣΗ</w:t>
      </w:r>
    </w:p>
    <w:p w14:paraId="4FBE99CA" w14:textId="77777777" w:rsidR="00766D54" w:rsidRPr="0065753E" w:rsidRDefault="00766D54" w:rsidP="004E6DF3">
      <w:pPr>
        <w:pStyle w:val="1"/>
        <w:spacing w:after="200"/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>Οργανική Μονάδα Λοιπών Πολιτικών</w:t>
      </w:r>
    </w:p>
    <w:p w14:paraId="5E1EB831" w14:textId="42A706AD" w:rsidR="00766D54" w:rsidRPr="0065753E" w:rsidRDefault="00766D54" w:rsidP="004E6DF3">
      <w:pPr>
        <w:pStyle w:val="1"/>
        <w:spacing w:after="200"/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>Αρμόδιος: Παν. Μασσαράς</w:t>
      </w:r>
    </w:p>
    <w:p w14:paraId="1CB7E99A" w14:textId="77777777" w:rsidR="004E6DF3" w:rsidRPr="0065753E" w:rsidRDefault="004E6DF3" w:rsidP="004E6DF3">
      <w:pPr>
        <w:pStyle w:val="1"/>
        <w:spacing w:after="200"/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B8D1986" w14:textId="3D5E0556" w:rsidR="00766D54" w:rsidRPr="0065753E" w:rsidRDefault="00766D54" w:rsidP="00766D54">
      <w:pPr>
        <w:spacing w:before="120"/>
        <w:ind w:left="-567"/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b/>
          <w:sz w:val="22"/>
          <w:szCs w:val="22"/>
          <w:lang w:val="el-GR"/>
        </w:rPr>
        <w:t>ΕΝΗΜΕΡΩΤΙΚΟ ΣΗΜΕΙΩΜΑ</w:t>
      </w:r>
    </w:p>
    <w:p w14:paraId="5AFF8DDB" w14:textId="77777777" w:rsidR="00F36137" w:rsidRPr="0065753E" w:rsidRDefault="00F36137" w:rsidP="00766D54">
      <w:pPr>
        <w:spacing w:before="120"/>
        <w:ind w:left="-567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14:paraId="033B8B74" w14:textId="665D62BD" w:rsidR="0046283C" w:rsidRPr="0065753E" w:rsidRDefault="00766D54" w:rsidP="00766D5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Θέμα: Νεότερο σχέδιο </w:t>
      </w:r>
      <w:proofErr w:type="spellStart"/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>κατ</w:t>
      </w:r>
      <w:proofErr w:type="spellEnd"/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>΄</w:t>
      </w:r>
      <w:r w:rsidR="00F36137"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>εξουσιοδότηση πράξης Κανονισμού Ταξινόμησης</w:t>
      </w:r>
    </w:p>
    <w:p w14:paraId="33477AE9" w14:textId="77777777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C92A5C" w14:textId="707A825A" w:rsidR="007C742A" w:rsidRPr="00697490" w:rsidRDefault="007C742A" w:rsidP="007C742A">
      <w:pPr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697490">
        <w:rPr>
          <w:rFonts w:ascii="Times New Roman" w:hAnsi="Times New Roman" w:cs="Times New Roman"/>
          <w:sz w:val="22"/>
          <w:szCs w:val="22"/>
          <w:u w:val="single"/>
          <w:lang w:val="el-GR"/>
        </w:rPr>
        <w:t>1.Γενικά</w:t>
      </w:r>
    </w:p>
    <w:p w14:paraId="2D6AE0D7" w14:textId="77777777" w:rsidR="007C742A" w:rsidRPr="0065753E" w:rsidRDefault="007C742A" w:rsidP="007C742A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784074A4" w14:textId="15000D39" w:rsidR="007C742A" w:rsidRPr="0065753E" w:rsidRDefault="007C742A" w:rsidP="007C742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Με τον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Κανονισμό (ΕΕ) 2020/852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«</w:t>
      </w:r>
      <w:r w:rsidRPr="0065753E">
        <w:rPr>
          <w:rFonts w:ascii="Times New Roman" w:hAnsi="Times New Roman" w:cs="Times New Roman"/>
          <w:i/>
          <w:iCs/>
          <w:color w:val="212121"/>
          <w:sz w:val="22"/>
          <w:szCs w:val="22"/>
          <w:lang w:val="el-GR"/>
        </w:rPr>
        <w:t>σχετικά με τη θέσπιση πλαισίου για τη διευκόλυνση των βιώσιμων επενδύσεων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», γνωστό ως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="008E5DE7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n-US"/>
        </w:rPr>
        <w:t>T</w:t>
      </w:r>
      <w:r w:rsidRPr="0065753E">
        <w:rPr>
          <w:rFonts w:ascii="Times New Roman" w:hAnsi="Times New Roman" w:cs="Times New Roman"/>
          <w:b/>
          <w:bCs/>
          <w:color w:val="212121"/>
          <w:sz w:val="22"/>
          <w:szCs w:val="22"/>
        </w:rPr>
        <w:t>axonomy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, θεσπίζονται κριτήρια με τα οποία προσδιορίζεται αν μια οικονομική δραστηριότητα χαρακτηρίζεται περιβαλλοντικά βιώσιμη. Ο Κανονισμός εφαρμόζεται: α) στα μέτρα που θεσπίζουν τα ΚΜ ή η Ευρ. Ένωση, τα οποία επιβάλλουν απαιτήσεις για τους συμμετέχοντες στις χρηματοπιστωτικές αγορές ή τους εκδότες όσον αφορά χρηματοπιστωτικά προϊόντα ή εταιρικά ομόλογα τα οποία διατίθενται ως περιβαλλοντικά βιώσιμα β) σε συμμετέχοντες στις χρηματοπιστωτικές αγορές οι οποίοι διαθέτουν χρηματοπιστωτικά προϊόντα γ) σε επιχειρήσεις που υπόκεινται στην υποχρέωση δημοσίευσης μη χρηματοοικονομικής κατάστασης ή ενοποιημένης μη χρηματοοικονομικής κατάστασης σύμφωνα με το άρθρο 19α ή το άρθρο 29α της </w:t>
      </w:r>
      <w:r w:rsidR="008E5DE7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Ο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δηγίας 2013/34/ΕΕ του Ευρωπαϊκού Κοινοβουλίου και του Συμβουλίου, αντίστοιχα.</w:t>
      </w:r>
    </w:p>
    <w:p w14:paraId="5BC79DEE" w14:textId="77777777" w:rsidR="007C742A" w:rsidRPr="0065753E" w:rsidRDefault="007C742A" w:rsidP="007C742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</w:p>
    <w:p w14:paraId="14029219" w14:textId="5B34204F" w:rsidR="007C742A" w:rsidRPr="0065753E" w:rsidRDefault="007C742A" w:rsidP="007C742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Τα ΚΜ και η Ευρ. Ένωση θα εφαρμόζουν τα κριτήρια που ορίζονται στο άρθρο 3 για τον προσδιορισμό του εάν μια οικονομική δραστηριότητα μπορεί να χαρακτηριστεί ως περιβαλλοντικά βιώσιμη, για τους σκοπούς οποιωνδήποτε μέτρων προβλέπουν απαιτήσεις για τους συμμετέχοντες στις χρηματοπιστωτικές αγορές ή τους εκδότες αναφορικά με χρηματοπιστωτικά προϊόντα ή εταιρικά ομόλογα τα οποία διατίθενται ως «περιβαλλοντικά βιώσιμα». Ο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Κανονισμός θα έχει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επιπτώσεις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όχι μόνο για τον χαρακτηρισμό χρηματοπιστωτικών προϊόντων, αλλά και για τις μελλοντικές τροποποιήσεις της νομοθεσίας της ΕΕ, όπως π.χ. για τα διευρωπαϊκά δίκτυα ενέργειας (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TEN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-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E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), καθώς στην συζήτηση διαμόρφωσής τους θα ληφθούν υπόψη και τα κριτήρια που εισ</w:t>
      </w:r>
      <w:r w:rsidR="008E5DE7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αγ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άγει περί περιβαλλοντικής βιωσιμότητας (ήδη στη σχετική συζήτηση η Ευρ. Επιτροπή το έχει αναφέρει ενώ έχει τεθεί το κριτήριο της βιωσιμότητας ως υποχρεωτικό για την επιλογή των </w:t>
      </w:r>
      <w:r w:rsidRPr="0065753E">
        <w:rPr>
          <w:rFonts w:ascii="Times New Roman" w:hAnsi="Times New Roman" w:cs="Times New Roman"/>
          <w:color w:val="212121"/>
          <w:sz w:val="22"/>
          <w:szCs w:val="22"/>
        </w:rPr>
        <w:t>PCI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στην πρόταση αναθεώρησης του Κανονισμού ΤΕΝ-Ε την οποία έχει ήδη υποβάλει).</w:t>
      </w:r>
    </w:p>
    <w:p w14:paraId="41AB8C5E" w14:textId="77777777" w:rsidR="007C742A" w:rsidRPr="0065753E" w:rsidRDefault="007C742A" w:rsidP="007C742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</w:p>
    <w:p w14:paraId="3D126EA7" w14:textId="59FFD76F" w:rsidR="007C742A" w:rsidRPr="0065753E" w:rsidRDefault="0065753E" w:rsidP="007C742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Ωστόσο, ο Κανονισμός περιελάμβανε τη δυνατότητα στην Ευρ. Επιτροπή με μία κατ’ εξουσιοδότηση πράξη  να καθορίσει όρια εκπομπών ώστε να θεωρηθούν ορισμένες οικονομικές δραστηριότητες περιβαλλοντικά βιώσιμες για ένα μεταβατικό διάστημα.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Η Ευρωπαϊκή Επιτροπή επεξεργάστηκε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και υπέβαλε 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σχετικό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σχέδιο </w:t>
      </w:r>
      <w:proofErr w:type="spellStart"/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κατ</w:t>
      </w:r>
      <w:proofErr w:type="spellEnd"/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΄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εξουσιοδότηση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πράξης στις 20 Δεκεμβρίου 2020. Το εν λόγω σχέδιο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 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 xml:space="preserve">κατ’ εξουσιοδότηση πράξης της Επιτροπής </w:t>
      </w:r>
      <w:r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 xml:space="preserve">όμως 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έθετε όρια εκπομπών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</w:rPr>
        <w:t> CO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2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</w:rPr>
        <w:t> 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που δεν επιτρέπουν τις επενδύσεις στο φ</w:t>
      </w:r>
      <w:r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 xml:space="preserve">υσικό 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α</w:t>
      </w:r>
      <w:r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>έριο</w:t>
      </w:r>
      <w:r w:rsidR="007C742A" w:rsidRPr="0065753E">
        <w:rPr>
          <w:rFonts w:ascii="Times New Roman" w:hAnsi="Times New Roman" w:cs="Times New Roman"/>
          <w:b/>
          <w:bCs/>
          <w:color w:val="212121"/>
          <w:sz w:val="22"/>
          <w:szCs w:val="22"/>
          <w:lang w:val="el-GR"/>
        </w:rPr>
        <w:t xml:space="preserve"> να χαρακτηριστούν περιβαλλοντικά βιώσιμες κατά τα οριζόμενα στον Κανονισμό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. Στην περίπτωση των αερίων και υγρών καυσίμων, τα κατώτατα όρια που καθορίζονταν από την αρχική πρόταση της Επιτροπής για τα όρια εκπομπών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CO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2 (100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gCO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2/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</w:rPr>
        <w:t>KWh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), δεν επιτρέπουν τις επενδύσεις σε φυσικό αέριο να χαρακτηρίζονται ως περιβαλλοντικά βιώσιμες επενδύσεις. Κατόπιν αντιδράσεων των ΚΜ στην αρμόδια ομάδα </w:t>
      </w:r>
      <w:proofErr w:type="spellStart"/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n-US"/>
        </w:rPr>
        <w:t>MSEG</w:t>
      </w:r>
      <w:proofErr w:type="spellEnd"/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και την αποστολή ύστερα από πρωτοβουλία Ελλάδος και Κύπρου, κοινού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n-US"/>
        </w:rPr>
        <w:t>non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n-US"/>
        </w:rPr>
        <w:t>paper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10 ΚΜ (</w:t>
      </w:r>
      <w:r w:rsidR="007C742A" w:rsidRPr="0065753E">
        <w:rPr>
          <w:rFonts w:ascii="Times New Roman" w:hAnsi="Times New Roman" w:cs="Times New Roman"/>
          <w:b/>
          <w:bCs/>
          <w:i/>
          <w:iCs/>
          <w:color w:val="212121"/>
          <w:sz w:val="22"/>
          <w:szCs w:val="22"/>
          <w:lang w:val="el-GR"/>
        </w:rPr>
        <w:t>Βουλγαρία Ελλάδα, Κροατία, Κύπρος, Μάλτα, Ουγγαρία, Πολωνία, Ρουμανία, Σλοβακία, Τσεχία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, επισυνάπτεται</w:t>
      </w:r>
      <w:r w:rsidR="00697490" w:rsidRPr="00697490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, </w:t>
      </w:r>
      <w:r w:rsidR="00697490">
        <w:rPr>
          <w:rFonts w:ascii="Times New Roman" w:hAnsi="Times New Roman" w:cs="Times New Roman"/>
          <w:color w:val="212121"/>
          <w:sz w:val="22"/>
          <w:szCs w:val="22"/>
          <w:lang w:val="en-US"/>
        </w:rPr>
        <w:t>non</w:t>
      </w:r>
      <w:r w:rsidR="00697490" w:rsidRPr="00697490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697490">
        <w:rPr>
          <w:rFonts w:ascii="Times New Roman" w:hAnsi="Times New Roman" w:cs="Times New Roman"/>
          <w:color w:val="212121"/>
          <w:sz w:val="22"/>
          <w:szCs w:val="22"/>
          <w:lang w:val="en-US"/>
        </w:rPr>
        <w:t>paper</w:t>
      </w:r>
      <w:r w:rsidR="00697490" w:rsidRPr="00697490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697490" w:rsidRPr="008F6184">
        <w:rPr>
          <w:rFonts w:ascii="Times New Roman" w:hAnsi="Times New Roman" w:cs="Times New Roman"/>
          <w:color w:val="212121"/>
          <w:sz w:val="22"/>
          <w:szCs w:val="22"/>
          <w:lang w:val="el-GR"/>
        </w:rPr>
        <w:t>1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) η Ευρ. Επιτροπή αναθεώρησε το σχέδιο κατ’ εξουσιοδότηση πράξης στις </w:t>
      </w:r>
      <w:r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20 </w:t>
      </w:r>
      <w:r w:rsidR="007C742A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Μαρτίου.</w:t>
      </w:r>
    </w:p>
    <w:p w14:paraId="35D1EEF6" w14:textId="77777777" w:rsidR="007C742A" w:rsidRPr="0065753E" w:rsidRDefault="007C742A" w:rsidP="00766D54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54E24E73" w14:textId="54E1ECFA" w:rsidR="00766D54" w:rsidRPr="00697490" w:rsidRDefault="0065753E" w:rsidP="00766D54">
      <w:pPr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 w:rsidRPr="00697490">
        <w:rPr>
          <w:rFonts w:ascii="Times New Roman" w:hAnsi="Times New Roman" w:cs="Times New Roman"/>
          <w:sz w:val="22"/>
          <w:szCs w:val="22"/>
          <w:u w:val="single"/>
          <w:lang w:val="el-GR"/>
        </w:rPr>
        <w:t>2. Β</w:t>
      </w:r>
      <w:r w:rsidR="00766D54" w:rsidRPr="00697490">
        <w:rPr>
          <w:rFonts w:ascii="Times New Roman" w:hAnsi="Times New Roman" w:cs="Times New Roman"/>
          <w:sz w:val="22"/>
          <w:szCs w:val="22"/>
          <w:u w:val="single"/>
          <w:lang w:val="el-GR"/>
        </w:rPr>
        <w:t xml:space="preserve">ασικές αλλαγές στο νεότερο σχέδιο </w:t>
      </w:r>
      <w:proofErr w:type="spellStart"/>
      <w:r w:rsidR="00F36137" w:rsidRPr="00697490">
        <w:rPr>
          <w:rFonts w:ascii="Times New Roman" w:hAnsi="Times New Roman" w:cs="Times New Roman"/>
          <w:sz w:val="22"/>
          <w:szCs w:val="22"/>
          <w:u w:val="single"/>
          <w:lang w:val="el-GR"/>
        </w:rPr>
        <w:t>κατ</w:t>
      </w:r>
      <w:proofErr w:type="spellEnd"/>
      <w:r w:rsidR="00F36137" w:rsidRPr="00697490">
        <w:rPr>
          <w:rFonts w:ascii="Times New Roman" w:hAnsi="Times New Roman" w:cs="Times New Roman"/>
          <w:sz w:val="22"/>
          <w:szCs w:val="22"/>
          <w:u w:val="single"/>
          <w:lang w:val="el-GR"/>
        </w:rPr>
        <w:t xml:space="preserve">΄ εξουσιοδότηση πράξης </w:t>
      </w:r>
    </w:p>
    <w:p w14:paraId="7B17903B" w14:textId="77777777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7E4C1A44" w14:textId="77C36E62" w:rsidR="00766D54" w:rsidRPr="0065753E" w:rsidRDefault="0065753E" w:rsidP="00766D54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766D54" w:rsidRPr="0065753E">
        <w:rPr>
          <w:rFonts w:ascii="Times New Roman" w:hAnsi="Times New Roman" w:cs="Times New Roman"/>
          <w:sz w:val="22"/>
          <w:szCs w:val="22"/>
          <w:lang w:val="el-GR"/>
        </w:rPr>
        <w:t>. Μεταφορά</w:t>
      </w:r>
      <w:r w:rsidR="00766D54" w:rsidRPr="0065753E">
        <w:rPr>
          <w:rFonts w:ascii="Times New Roman" w:hAnsi="Times New Roman" w:cs="Times New Roman"/>
          <w:sz w:val="22"/>
          <w:szCs w:val="22"/>
        </w:rPr>
        <w:t xml:space="preserve"> και διανομή ανανεώσιμων και χαμηλών εκπομπών άνθρακα</w:t>
      </w:r>
      <w:r w:rsidR="00766D54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αερίων</w:t>
      </w:r>
    </w:p>
    <w:p w14:paraId="4898999D" w14:textId="77777777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4A0011" w14:textId="6A01366A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lastRenderedPageBreak/>
        <w:t>Όπως και στο προηγούμενο σχέδιο, η μεταφορά και διανομή του φυσικού αερίου δεν είναι επιλέξιμ</w:t>
      </w:r>
      <w:proofErr w:type="spellStart"/>
      <w:r w:rsidRPr="0065753E">
        <w:rPr>
          <w:rFonts w:ascii="Times New Roman" w:hAnsi="Times New Roman" w:cs="Times New Roman"/>
          <w:sz w:val="22"/>
          <w:szCs w:val="22"/>
          <w:lang w:val="el-GR"/>
        </w:rPr>
        <w:t>ες</w:t>
      </w:r>
      <w:proofErr w:type="spellEnd"/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ως μεταβατικές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δραστηριότητες</w:t>
      </w:r>
      <w:r w:rsidRPr="0065753E">
        <w:rPr>
          <w:rFonts w:ascii="Times New Roman" w:hAnsi="Times New Roman" w:cs="Times New Roman"/>
          <w:sz w:val="22"/>
          <w:szCs w:val="22"/>
        </w:rPr>
        <w:t xml:space="preserve">. Η μεταφορά και διανομή ανανεώσιμων και χαμηλών εκπομπών άνθρακα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αερίων </w:t>
      </w:r>
      <w:r w:rsidRPr="0065753E">
        <w:rPr>
          <w:rFonts w:ascii="Times New Roman" w:hAnsi="Times New Roman" w:cs="Times New Roman"/>
          <w:sz w:val="22"/>
          <w:szCs w:val="22"/>
        </w:rPr>
        <w:t>είναι επιλέξιμ</w:t>
      </w:r>
      <w:proofErr w:type="spellStart"/>
      <w:r w:rsidRPr="0065753E">
        <w:rPr>
          <w:rFonts w:ascii="Times New Roman" w:hAnsi="Times New Roman" w:cs="Times New Roman"/>
          <w:sz w:val="22"/>
          <w:szCs w:val="22"/>
          <w:lang w:val="el-GR"/>
        </w:rPr>
        <w:t>ες</w:t>
      </w:r>
      <w:proofErr w:type="spellEnd"/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δραστηριότητες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υπό ορισμένες προϋποθέσεις. Τα κριτήρια που σχετίζονται με αυτέ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τ</w:t>
      </w:r>
      <w:proofErr w:type="spellStart"/>
      <w:r w:rsidRPr="0065753E">
        <w:rPr>
          <w:rFonts w:ascii="Times New Roman" w:hAnsi="Times New Roman" w:cs="Times New Roman"/>
          <w:sz w:val="22"/>
          <w:szCs w:val="22"/>
          <w:lang w:val="el-GR"/>
        </w:rPr>
        <w:t>ις</w:t>
      </w:r>
      <w:proofErr w:type="spellEnd"/>
      <w:r w:rsidRPr="0065753E">
        <w:rPr>
          <w:rFonts w:ascii="Times New Roman" w:hAnsi="Times New Roman" w:cs="Times New Roman"/>
          <w:sz w:val="22"/>
          <w:szCs w:val="22"/>
        </w:rPr>
        <w:t xml:space="preserve"> δραστηριότητ</w:t>
      </w:r>
      <w:proofErr w:type="spellStart"/>
      <w:r w:rsidRPr="0065753E">
        <w:rPr>
          <w:rFonts w:ascii="Times New Roman" w:hAnsi="Times New Roman" w:cs="Times New Roman"/>
          <w:sz w:val="22"/>
          <w:szCs w:val="22"/>
          <w:lang w:val="el-GR"/>
        </w:rPr>
        <w:t>ες</w:t>
      </w:r>
      <w:proofErr w:type="spellEnd"/>
      <w:r w:rsidRPr="0065753E">
        <w:rPr>
          <w:rFonts w:ascii="Times New Roman" w:hAnsi="Times New Roman" w:cs="Times New Roman"/>
          <w:sz w:val="22"/>
          <w:szCs w:val="22"/>
        </w:rPr>
        <w:t xml:space="preserve"> έχουν αναδιατυπωθεί αλλά ουσιαστικά δεν έχουν αλλάξει: περιλαμβάνουν την κατασκευή και τη λειτουργία ενός τέτοιου δικτύου ανανεώσιμων και χαμηλών εκπομπών άνθρακα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αερίων </w:t>
      </w:r>
      <w:r w:rsidRPr="0065753E">
        <w:rPr>
          <w:rFonts w:ascii="Times New Roman" w:hAnsi="Times New Roman" w:cs="Times New Roman"/>
          <w:sz w:val="22"/>
          <w:szCs w:val="22"/>
        </w:rPr>
        <w:t xml:space="preserve">και τη μετασκευή και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αναπροσαρμογή</w:t>
      </w:r>
      <w:r w:rsidRPr="0065753E">
        <w:rPr>
          <w:rFonts w:ascii="Times New Roman" w:hAnsi="Times New Roman" w:cs="Times New Roman"/>
          <w:sz w:val="22"/>
          <w:szCs w:val="22"/>
        </w:rPr>
        <w:t xml:space="preserve"> των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υπαρχόντων</w:t>
      </w:r>
      <w:r w:rsidRPr="0065753E">
        <w:rPr>
          <w:rFonts w:ascii="Times New Roman" w:hAnsi="Times New Roman" w:cs="Times New Roman"/>
          <w:sz w:val="22"/>
          <w:szCs w:val="22"/>
        </w:rPr>
        <w:t xml:space="preserve"> αγωγών.</w:t>
      </w:r>
    </w:p>
    <w:p w14:paraId="2EF15276" w14:textId="77777777" w:rsidR="00766D54" w:rsidRPr="0065753E" w:rsidRDefault="00766D54" w:rsidP="00766D54">
      <w:pPr>
        <w:rPr>
          <w:rFonts w:ascii="Times New Roman" w:hAnsi="Times New Roman" w:cs="Times New Roman"/>
          <w:sz w:val="22"/>
          <w:szCs w:val="22"/>
        </w:rPr>
      </w:pPr>
    </w:p>
    <w:p w14:paraId="7AF53AE0" w14:textId="732C1DF5" w:rsidR="00766D54" w:rsidRPr="00697490" w:rsidRDefault="0065753E" w:rsidP="00766D54">
      <w:pPr>
        <w:rPr>
          <w:rFonts w:ascii="Times New Roman" w:hAnsi="Times New Roman" w:cs="Times New Roman"/>
          <w:sz w:val="22"/>
          <w:szCs w:val="22"/>
        </w:rPr>
      </w:pPr>
      <w:r w:rsidRPr="00697490">
        <w:rPr>
          <w:rFonts w:ascii="Times New Roman" w:hAnsi="Times New Roman" w:cs="Times New Roman"/>
          <w:sz w:val="22"/>
          <w:szCs w:val="22"/>
          <w:lang w:val="el-GR"/>
        </w:rPr>
        <w:t>β</w:t>
      </w:r>
      <w:r w:rsidR="00766D54" w:rsidRPr="0069749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 w:rsidR="00766D54" w:rsidRPr="00697490">
        <w:rPr>
          <w:rFonts w:ascii="Times New Roman" w:hAnsi="Times New Roman" w:cs="Times New Roman"/>
          <w:sz w:val="22"/>
          <w:szCs w:val="22"/>
        </w:rPr>
        <w:t>Φυσικό αέριο</w:t>
      </w:r>
    </w:p>
    <w:p w14:paraId="2CE0A48E" w14:textId="77777777" w:rsidR="00766D54" w:rsidRPr="0065753E" w:rsidRDefault="00766D54" w:rsidP="00766D54">
      <w:pPr>
        <w:rPr>
          <w:rFonts w:ascii="Times New Roman" w:hAnsi="Times New Roman" w:cs="Times New Roman"/>
          <w:sz w:val="22"/>
          <w:szCs w:val="22"/>
        </w:rPr>
      </w:pPr>
    </w:p>
    <w:p w14:paraId="74998FD8" w14:textId="17C05F1A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 xml:space="preserve">Η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Ευρ. </w:t>
      </w:r>
      <w:r w:rsidRPr="0065753E">
        <w:rPr>
          <w:rFonts w:ascii="Times New Roman" w:hAnsi="Times New Roman" w:cs="Times New Roman"/>
          <w:sz w:val="22"/>
          <w:szCs w:val="22"/>
        </w:rPr>
        <w:t>Επιτροπή εισήγαγε κατηγορίες που σχετίζονται με τ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ην αλλαγή </w:t>
      </w:r>
      <w:r w:rsidRPr="0065753E">
        <w:rPr>
          <w:rFonts w:ascii="Times New Roman" w:hAnsi="Times New Roman" w:cs="Times New Roman"/>
          <w:sz w:val="22"/>
          <w:szCs w:val="22"/>
        </w:rPr>
        <w:t xml:space="preserve"> 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καυσίμου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από </w:t>
      </w:r>
      <w:r w:rsidRPr="0065753E">
        <w:rPr>
          <w:rFonts w:ascii="Times New Roman" w:hAnsi="Times New Roman" w:cs="Times New Roman"/>
          <w:sz w:val="22"/>
          <w:szCs w:val="22"/>
        </w:rPr>
        <w:t>άνθρακα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σε φυσικό αέριο</w:t>
      </w:r>
      <w:r w:rsidRPr="0065753E">
        <w:rPr>
          <w:rFonts w:ascii="Times New Roman" w:hAnsi="Times New Roman" w:cs="Times New Roman"/>
          <w:sz w:val="22"/>
          <w:szCs w:val="22"/>
        </w:rPr>
        <w:t xml:space="preserve"> (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 xml:space="preserve">βλ. </w:t>
      </w:r>
      <w:r w:rsidRPr="0065753E">
        <w:rPr>
          <w:rFonts w:ascii="Times New Roman" w:hAnsi="Times New Roman" w:cs="Times New Roman"/>
          <w:i/>
          <w:iCs/>
          <w:sz w:val="22"/>
          <w:szCs w:val="22"/>
          <w:lang w:val="el-GR"/>
        </w:rPr>
        <w:t>π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αραγράφους 4.26 και 4.27 του παραρτήματος Ι</w:t>
      </w:r>
      <w:r w:rsidRPr="0065753E">
        <w:rPr>
          <w:rFonts w:ascii="Times New Roman" w:hAnsi="Times New Roman" w:cs="Times New Roman"/>
          <w:sz w:val="22"/>
          <w:szCs w:val="22"/>
        </w:rPr>
        <w:t xml:space="preserve">), πιθανότατα ως συμβιβασμό στον τομέα του φυσικού αερίου. Αυτός ο συμβιβασμός φαίνεται να έχει σχεδιαστεί ως εξής: Από τη μία πλευρά, το όριο των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«</w:t>
      </w:r>
      <w:r w:rsidRPr="0065753E">
        <w:rPr>
          <w:rFonts w:ascii="Times New Roman" w:hAnsi="Times New Roman" w:cs="Times New Roman"/>
          <w:sz w:val="22"/>
          <w:szCs w:val="22"/>
        </w:rPr>
        <w:t>100 g CO2e ανά kWh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»</w:t>
      </w:r>
      <w:r w:rsidRPr="0065753E">
        <w:rPr>
          <w:rFonts w:ascii="Times New Roman" w:hAnsi="Times New Roman" w:cs="Times New Roman"/>
          <w:sz w:val="22"/>
          <w:szCs w:val="22"/>
        </w:rPr>
        <w:t xml:space="preserve"> παραμένει αμετάβλητο σε σχέση με την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παραγωγή</w:t>
      </w:r>
      <w:r w:rsidRPr="0065753E">
        <w:rPr>
          <w:rFonts w:ascii="Times New Roman" w:hAnsi="Times New Roman" w:cs="Times New Roman"/>
          <w:sz w:val="22"/>
          <w:szCs w:val="22"/>
        </w:rPr>
        <w:t xml:space="preserve"> - από αέρια και υγρά καύσιμα -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ηλεκτρικής ενέργειας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(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βλ. Ενότητα 4.7</w:t>
      </w:r>
      <w:r w:rsidRPr="0065753E">
        <w:rPr>
          <w:rFonts w:ascii="Times New Roman" w:hAnsi="Times New Roman" w:cs="Times New Roman"/>
          <w:sz w:val="22"/>
          <w:szCs w:val="22"/>
        </w:rPr>
        <w:t xml:space="preserve">) και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 xml:space="preserve">θερμότητας </w:t>
      </w:r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-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ψύξης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(βλ. 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παράγραφο 4.23</w:t>
      </w:r>
      <w:r w:rsidRPr="0065753E">
        <w:rPr>
          <w:rFonts w:ascii="Times New Roman" w:hAnsi="Times New Roman" w:cs="Times New Roman"/>
          <w:sz w:val="22"/>
          <w:szCs w:val="22"/>
        </w:rPr>
        <w:t xml:space="preserve">) καθώς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 xml:space="preserve">και για τη συμπαραγωγή θερμότητας </w:t>
      </w:r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>-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 xml:space="preserve"> ψύξης από αέρια και υγρά καύσιμα</w:t>
      </w:r>
      <w:r w:rsidRPr="0065753E">
        <w:rPr>
          <w:rFonts w:ascii="Times New Roman" w:hAnsi="Times New Roman" w:cs="Times New Roman"/>
          <w:sz w:val="22"/>
          <w:szCs w:val="22"/>
        </w:rPr>
        <w:t xml:space="preserve"> (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βλ. παράγραφο 4.19</w:t>
      </w:r>
      <w:r w:rsidRPr="0065753E">
        <w:rPr>
          <w:rFonts w:ascii="Times New Roman" w:hAnsi="Times New Roman" w:cs="Times New Roman"/>
          <w:sz w:val="22"/>
          <w:szCs w:val="22"/>
        </w:rPr>
        <w:t xml:space="preserve">). Ωστόσο, από την άλλη πλευρά, δύο νέες ενότητες έχουν συμπεριληφθεί σχετικά με την «αντικατάσταση» θερμότητας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65753E">
        <w:rPr>
          <w:rFonts w:ascii="Times New Roman" w:hAnsi="Times New Roman" w:cs="Times New Roman"/>
          <w:sz w:val="22"/>
          <w:szCs w:val="22"/>
        </w:rPr>
        <w:t xml:space="preserve"> ψύξης ή / και ηλεκτρικών εγκαταστάσεων με τη χρήση στερεών ή υγρών ορυκτών καυσίμων (δηλαδή στην πράξη, μονάδες παραγωγής ενέργειας από άνθρακα) από «υψηλή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απόδοση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ς </w:t>
      </w:r>
      <w:r w:rsidRPr="0065753E">
        <w:rPr>
          <w:rFonts w:ascii="Times New Roman" w:hAnsi="Times New Roman" w:cs="Times New Roman"/>
          <w:sz w:val="22"/>
          <w:szCs w:val="22"/>
        </w:rPr>
        <w:t xml:space="preserve">εγκαταστάσεις θέρμανσης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- </w:t>
      </w:r>
      <w:r w:rsidRPr="0065753E">
        <w:rPr>
          <w:rFonts w:ascii="Times New Roman" w:hAnsi="Times New Roman" w:cs="Times New Roman"/>
          <w:sz w:val="22"/>
          <w:szCs w:val="22"/>
        </w:rPr>
        <w:t xml:space="preserve"> ψύξης και ισχύος που χρησιμοποιούν αέρια και υγρά καύσιμα »(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βλ. ενότητα 4.26</w:t>
      </w:r>
      <w:r w:rsidRPr="0065753E">
        <w:rPr>
          <w:rFonts w:ascii="Times New Roman" w:hAnsi="Times New Roman" w:cs="Times New Roman"/>
          <w:sz w:val="22"/>
          <w:szCs w:val="22"/>
        </w:rPr>
        <w:t xml:space="preserve">). Το ίδιο είδος αντικατάστασης περιλαμβάνεται στην ενότητα 4.27 για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την περίπτωση της </w:t>
      </w:r>
      <w:r w:rsidRPr="0065753E">
        <w:rPr>
          <w:rFonts w:ascii="Times New Roman" w:hAnsi="Times New Roman" w:cs="Times New Roman"/>
          <w:sz w:val="22"/>
          <w:szCs w:val="22"/>
        </w:rPr>
        <w:t>τηλεθέρμανση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65753E">
        <w:rPr>
          <w:rFonts w:ascii="Times New Roman" w:hAnsi="Times New Roman" w:cs="Times New Roman"/>
          <w:sz w:val="22"/>
          <w:szCs w:val="22"/>
        </w:rPr>
        <w:t>. Στην ουσία, η ενότητα 4.26 προβλέπει ότι μια τέτοια αντικατάσταση μπορεί να ευθυγραμμιστεί με τ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Pr="0065753E">
        <w:rPr>
          <w:rFonts w:ascii="Times New Roman" w:hAnsi="Times New Roman" w:cs="Times New Roman"/>
          <w:sz w:val="22"/>
          <w:szCs w:val="22"/>
        </w:rPr>
        <w:t xml:space="preserve">ν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Κανονισμό Τ</w:t>
      </w:r>
      <w:r w:rsidRPr="0065753E">
        <w:rPr>
          <w:rFonts w:ascii="Times New Roman" w:hAnsi="Times New Roman" w:cs="Times New Roman"/>
          <w:sz w:val="22"/>
          <w:szCs w:val="22"/>
        </w:rPr>
        <w:t>αξινόμηση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65753E">
        <w:rPr>
          <w:rFonts w:ascii="Times New Roman" w:hAnsi="Times New Roman" w:cs="Times New Roman"/>
          <w:sz w:val="22"/>
          <w:szCs w:val="22"/>
        </w:rPr>
        <w:t xml:space="preserve">,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εάν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</w:rPr>
        <w:t xml:space="preserve">πληρούνται οι ακόλουθες προϋποθέσεις: </w:t>
      </w:r>
    </w:p>
    <w:p w14:paraId="5B576D93" w14:textId="28703CA3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 xml:space="preserve">α. δεν υπάρχουν τεχνολογικές και οικονομικές εναλλακτικές λύσεις χαμηλού άνθρακα στη νέα εγκατάσταση χρησιμοποιώντας αέρια ή υγρά καύσιμα (δηλαδή στην πράξη, 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η μόνη εναλλακτική είναι </w:t>
      </w:r>
      <w:r w:rsidR="00363674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μονάδες φυσικού αερίου συνδυασμένου κύκλου / </w:t>
      </w:r>
      <w:r w:rsidRPr="0065753E">
        <w:rPr>
          <w:rFonts w:ascii="Times New Roman" w:hAnsi="Times New Roman" w:cs="Times New Roman"/>
          <w:sz w:val="22"/>
          <w:szCs w:val="22"/>
        </w:rPr>
        <w:t xml:space="preserve">CCGT) </w:t>
      </w:r>
    </w:p>
    <w:p w14:paraId="411594C2" w14:textId="5D3BF809" w:rsidR="00766D54" w:rsidRPr="0065753E" w:rsidRDefault="00766D54" w:rsidP="00766D54">
      <w:p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>β. αυτή η νέα εγκατάσταση που χρησιμοποιεί αέριο ή υγρό καύσιμο i) βρίσκεται σε «περιοχές μετάβασης» (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coal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regions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transition</w:t>
      </w:r>
      <w:r w:rsidRPr="0065753E">
        <w:rPr>
          <w:rFonts w:ascii="Times New Roman" w:hAnsi="Times New Roman" w:cs="Times New Roman"/>
          <w:sz w:val="22"/>
          <w:szCs w:val="22"/>
        </w:rPr>
        <w:t xml:space="preserve">) ii) δεν εκπέμπει άμεσα περισσότερα από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270 g CO2</w:t>
      </w:r>
      <w:r w:rsidRPr="0065753E">
        <w:rPr>
          <w:rFonts w:ascii="Times New Roman" w:hAnsi="Times New Roman" w:cs="Times New Roman"/>
          <w:b/>
          <w:bCs/>
          <w:sz w:val="22"/>
          <w:szCs w:val="22"/>
          <w:lang w:val="el-GR"/>
        </w:rPr>
        <w:t>/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kWh</w:t>
      </w:r>
      <w:r w:rsidRPr="0065753E">
        <w:rPr>
          <w:rFonts w:ascii="Times New Roman" w:hAnsi="Times New Roman" w:cs="Times New Roman"/>
          <w:sz w:val="22"/>
          <w:szCs w:val="22"/>
        </w:rPr>
        <w:t xml:space="preserve"> iii) εξασφαλίζει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εξοικονόμηση τουλάχιστον 50% ανά kWh</w:t>
      </w:r>
      <w:r w:rsidRPr="0065753E">
        <w:rPr>
          <w:rFonts w:ascii="Times New Roman" w:hAnsi="Times New Roman" w:cs="Times New Roman"/>
          <w:sz w:val="22"/>
          <w:szCs w:val="22"/>
        </w:rPr>
        <w:t xml:space="preserve"> σε σύγκριση με τ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ην</w:t>
      </w:r>
      <w:r w:rsidRPr="0065753E">
        <w:rPr>
          <w:rFonts w:ascii="Times New Roman" w:hAnsi="Times New Roman" w:cs="Times New Roman"/>
          <w:sz w:val="22"/>
          <w:szCs w:val="22"/>
        </w:rPr>
        <w:t xml:space="preserve"> προηγούμεν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Pr="0065753E">
        <w:rPr>
          <w:rFonts w:ascii="Times New Roman" w:hAnsi="Times New Roman" w:cs="Times New Roman"/>
          <w:sz w:val="22"/>
          <w:szCs w:val="22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μονάδα</w:t>
      </w:r>
      <w:r w:rsidRPr="0065753E">
        <w:rPr>
          <w:rFonts w:ascii="Times New Roman" w:hAnsi="Times New Roman" w:cs="Times New Roman"/>
          <w:sz w:val="22"/>
          <w:szCs w:val="22"/>
        </w:rPr>
        <w:t xml:space="preserve"> iv) αποδεικνύει τη συμβατότητα με τη συνύπαρξη αερίων ή υγρών καυσίμων χαμηλών εκπομπών άνθρακα (δηλαδή είναι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συμβατή με υδρογόνο</w:t>
      </w:r>
      <w:r w:rsidRPr="0065753E">
        <w:rPr>
          <w:rFonts w:ascii="Times New Roman" w:hAnsi="Times New Roman" w:cs="Times New Roman"/>
          <w:sz w:val="22"/>
          <w:szCs w:val="22"/>
        </w:rPr>
        <w:t xml:space="preserve">) και v) </w:t>
      </w:r>
      <w:r w:rsidRPr="0065753E">
        <w:rPr>
          <w:rFonts w:ascii="Times New Roman" w:hAnsi="Times New Roman" w:cs="Times New Roman"/>
          <w:b/>
          <w:bCs/>
          <w:sz w:val="22"/>
          <w:szCs w:val="22"/>
        </w:rPr>
        <w:t>τίθεται σε λειτουργία πριν από το 2025</w:t>
      </w:r>
      <w:r w:rsidRPr="0065753E">
        <w:rPr>
          <w:rFonts w:ascii="Times New Roman" w:hAnsi="Times New Roman" w:cs="Times New Roman"/>
          <w:sz w:val="22"/>
          <w:szCs w:val="22"/>
        </w:rPr>
        <w:t xml:space="preserve"> για να αντικαταστήσει τ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ην</w:t>
      </w:r>
      <w:r w:rsidRPr="0065753E">
        <w:rPr>
          <w:rFonts w:ascii="Times New Roman" w:hAnsi="Times New Roman" w:cs="Times New Roman"/>
          <w:sz w:val="22"/>
          <w:szCs w:val="22"/>
        </w:rPr>
        <w:t xml:space="preserve"> προηγούμεν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Pr="0065753E">
        <w:rPr>
          <w:rFonts w:ascii="Times New Roman" w:hAnsi="Times New Roman" w:cs="Times New Roman"/>
          <w:sz w:val="22"/>
          <w:szCs w:val="22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μονάδα</w:t>
      </w:r>
      <w:r w:rsidRPr="0065753E">
        <w:rPr>
          <w:rFonts w:ascii="Times New Roman" w:hAnsi="Times New Roman" w:cs="Times New Roman"/>
          <w:sz w:val="22"/>
          <w:szCs w:val="22"/>
        </w:rPr>
        <w:t xml:space="preserve"> που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θα κλείσει επίσης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>το 2025</w:t>
      </w:r>
      <w:r w:rsidRPr="0065753E">
        <w:rPr>
          <w:rFonts w:ascii="Times New Roman" w:hAnsi="Times New Roman" w:cs="Times New Roman"/>
          <w:sz w:val="22"/>
          <w:szCs w:val="22"/>
        </w:rPr>
        <w:t>.</w:t>
      </w:r>
    </w:p>
    <w:p w14:paraId="73F8A0A7" w14:textId="77777777" w:rsidR="00766D54" w:rsidRPr="0065753E" w:rsidRDefault="00766D54" w:rsidP="00766D54">
      <w:pPr>
        <w:rPr>
          <w:rFonts w:ascii="Times New Roman" w:hAnsi="Times New Roman" w:cs="Times New Roman"/>
          <w:sz w:val="22"/>
          <w:szCs w:val="22"/>
        </w:rPr>
      </w:pPr>
    </w:p>
    <w:p w14:paraId="24382021" w14:textId="4C4A854B" w:rsidR="00766D54" w:rsidRPr="00697490" w:rsidRDefault="00697490" w:rsidP="00766D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γ</w:t>
      </w:r>
      <w:r w:rsidR="00F36137" w:rsidRPr="0069749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 w:rsidR="00766D54" w:rsidRPr="00697490">
        <w:rPr>
          <w:rFonts w:ascii="Times New Roman" w:hAnsi="Times New Roman" w:cs="Times New Roman"/>
          <w:sz w:val="22"/>
          <w:szCs w:val="22"/>
        </w:rPr>
        <w:t>Υδρογόνο</w:t>
      </w:r>
    </w:p>
    <w:p w14:paraId="18355667" w14:textId="77777777" w:rsidR="00766D54" w:rsidRPr="0065753E" w:rsidRDefault="00766D54" w:rsidP="00766D54">
      <w:pPr>
        <w:rPr>
          <w:rFonts w:ascii="Times New Roman" w:hAnsi="Times New Roman" w:cs="Times New Roman"/>
          <w:sz w:val="22"/>
          <w:szCs w:val="22"/>
        </w:rPr>
      </w:pPr>
    </w:p>
    <w:p w14:paraId="51405AAD" w14:textId="6BC0098B" w:rsidR="00766D54" w:rsidRPr="0065753E" w:rsidRDefault="00766D54" w:rsidP="00F36137">
      <w:p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 xml:space="preserve">Τα κριτήρια για την ευθυγράμμιση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με τον Κανονισμό</w:t>
      </w:r>
      <w:r w:rsidRPr="0065753E">
        <w:rPr>
          <w:rFonts w:ascii="Times New Roman" w:hAnsi="Times New Roman" w:cs="Times New Roman"/>
          <w:sz w:val="22"/>
          <w:szCs w:val="22"/>
        </w:rPr>
        <w:t xml:space="preserve">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Pr="0065753E">
        <w:rPr>
          <w:rFonts w:ascii="Times New Roman" w:hAnsi="Times New Roman" w:cs="Times New Roman"/>
          <w:sz w:val="22"/>
          <w:szCs w:val="22"/>
        </w:rPr>
        <w:t>αξινόμησης σε σχέση με το υδρογόνο έχουν διευρυνθεί (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>βλ</w:t>
      </w:r>
      <w:r w:rsidR="00046D91" w:rsidRPr="0065753E">
        <w:rPr>
          <w:rFonts w:ascii="Times New Roman" w:hAnsi="Times New Roman" w:cs="Times New Roman"/>
          <w:i/>
          <w:iCs/>
          <w:sz w:val="22"/>
          <w:szCs w:val="22"/>
          <w:lang w:val="el-GR"/>
        </w:rPr>
        <w:t>.</w:t>
      </w:r>
      <w:r w:rsidRPr="0065753E">
        <w:rPr>
          <w:rFonts w:ascii="Times New Roman" w:hAnsi="Times New Roman" w:cs="Times New Roman"/>
          <w:i/>
          <w:iCs/>
          <w:sz w:val="22"/>
          <w:szCs w:val="22"/>
        </w:rPr>
        <w:t xml:space="preserve"> παραγράφους 3.2 και 3.10 του παραρτήματος Ι)</w:t>
      </w:r>
      <w:r w:rsidRPr="0065753E">
        <w:rPr>
          <w:rFonts w:ascii="Times New Roman" w:hAnsi="Times New Roman" w:cs="Times New Roman"/>
          <w:sz w:val="22"/>
          <w:szCs w:val="22"/>
        </w:rPr>
        <w:t xml:space="preserve">. Συγκεκριμένα, 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>έχουν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γίνει </w:t>
      </w:r>
      <w:r w:rsidRPr="0065753E">
        <w:rPr>
          <w:rFonts w:ascii="Times New Roman" w:hAnsi="Times New Roman" w:cs="Times New Roman"/>
          <w:sz w:val="22"/>
          <w:szCs w:val="22"/>
        </w:rPr>
        <w:t xml:space="preserve">οι ακόλουθες αλλαγές: α. Το </w:t>
      </w:r>
      <w:r w:rsidR="00F36137" w:rsidRPr="0065753E">
        <w:rPr>
          <w:rFonts w:ascii="Times New Roman" w:hAnsi="Times New Roman" w:cs="Times New Roman"/>
          <w:sz w:val="22"/>
          <w:szCs w:val="22"/>
        </w:rPr>
        <w:t>ό</w:t>
      </w:r>
      <w:proofErr w:type="spellStart"/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ριο</w:t>
      </w:r>
      <w:proofErr w:type="spellEnd"/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εκπομπών </w:t>
      </w:r>
      <w:proofErr w:type="spellStart"/>
      <w:r w:rsidR="00046D91" w:rsidRPr="0065753E">
        <w:rPr>
          <w:rFonts w:ascii="Times New Roman" w:hAnsi="Times New Roman" w:cs="Times New Roman"/>
          <w:sz w:val="22"/>
          <w:szCs w:val="22"/>
          <w:lang w:val="en-US"/>
        </w:rPr>
        <w:t>GHG</w:t>
      </w:r>
      <w:proofErr w:type="spellEnd"/>
      <w:r w:rsidRPr="0065753E">
        <w:rPr>
          <w:rFonts w:ascii="Times New Roman" w:hAnsi="Times New Roman" w:cs="Times New Roman"/>
          <w:sz w:val="22"/>
          <w:szCs w:val="22"/>
        </w:rPr>
        <w:t xml:space="preserve"> (που συνδέεται με τα ουσιαστικά κριτήρια συνεισφοράς) για την παραγωγή υδρογόνου αυξήθηκε από 2.256 tCO2e ανά kWh σε 3 tCO2e ανά kWh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β</w:t>
      </w:r>
      <w:r w:rsidRPr="0065753E">
        <w:rPr>
          <w:rFonts w:ascii="Times New Roman" w:hAnsi="Times New Roman" w:cs="Times New Roman"/>
          <w:sz w:val="22"/>
          <w:szCs w:val="22"/>
        </w:rPr>
        <w:t xml:space="preserve">. η παραγωγή καυσίμων με βάση το υδρογόνο έχει συμπεριληφθεί ως επιλέξιμη δραστηριότητα (δεν ήταν προηγουμένως), με το όριο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των</w:t>
      </w:r>
      <w:r w:rsidRPr="0065753E">
        <w:rPr>
          <w:rFonts w:ascii="Times New Roman" w:hAnsi="Times New Roman" w:cs="Times New Roman"/>
          <w:sz w:val="22"/>
          <w:szCs w:val="22"/>
        </w:rPr>
        <w:t xml:space="preserve"> GHG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να ανέρχεται σε </w:t>
      </w:r>
      <w:r w:rsidRPr="0065753E">
        <w:rPr>
          <w:rFonts w:ascii="Times New Roman" w:hAnsi="Times New Roman" w:cs="Times New Roman"/>
          <w:sz w:val="22"/>
          <w:szCs w:val="22"/>
        </w:rPr>
        <w:t xml:space="preserve">3,38 tCO2e ανά kWh. γ. η κατασκευή όλων των μηχανών που μπορούν να παράγουν υδρογόνο με τρόπο που να ευθυγραμμίζεται με την ταξινόμηση μπορεί τώρα, από μόνο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της</w:t>
      </w:r>
      <w:r w:rsidRPr="0065753E">
        <w:rPr>
          <w:rFonts w:ascii="Times New Roman" w:hAnsi="Times New Roman" w:cs="Times New Roman"/>
          <w:sz w:val="22"/>
          <w:szCs w:val="22"/>
        </w:rPr>
        <w:t xml:space="preserve">, να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θεωρείται</w:t>
      </w:r>
      <w:r w:rsidRPr="0065753E">
        <w:rPr>
          <w:rFonts w:ascii="Times New Roman" w:hAnsi="Times New Roman" w:cs="Times New Roman"/>
          <w:sz w:val="22"/>
          <w:szCs w:val="22"/>
        </w:rPr>
        <w:t xml:space="preserve"> μια ευθυγραμμισμένη δραστηριότητα. Προηγουμένως, μόνο η κατασκευή ηλεκτρολυτών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συμπεριλαμβανόταν</w:t>
      </w:r>
      <w:r w:rsidRPr="0065753E">
        <w:rPr>
          <w:rFonts w:ascii="Times New Roman" w:hAnsi="Times New Roman" w:cs="Times New Roman"/>
          <w:sz w:val="22"/>
          <w:szCs w:val="22"/>
        </w:rPr>
        <w:t>. Αυτό σημαίνει ότι οι μηχανές παραγωγής μπλε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δηλαδή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με φυσικό αέριο και </w:t>
      </w:r>
      <w:proofErr w:type="spellStart"/>
      <w:r w:rsidR="00F36137" w:rsidRPr="0065753E">
        <w:rPr>
          <w:rFonts w:ascii="Times New Roman" w:hAnsi="Times New Roman" w:cs="Times New Roman"/>
          <w:sz w:val="22"/>
          <w:szCs w:val="22"/>
          <w:lang w:val="en-US"/>
        </w:rPr>
        <w:t>CCUS</w:t>
      </w:r>
      <w:proofErr w:type="spellEnd"/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)</w:t>
      </w:r>
      <w:r w:rsidRPr="0065753E">
        <w:rPr>
          <w:rFonts w:ascii="Times New Roman" w:hAnsi="Times New Roman" w:cs="Times New Roman"/>
          <w:sz w:val="22"/>
          <w:szCs w:val="22"/>
        </w:rPr>
        <w:t xml:space="preserve"> ή τυρκουάζ υδρογόνου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046D91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δηλαδή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με πυρόλυση)</w:t>
      </w:r>
      <w:r w:rsidRPr="0065753E">
        <w:rPr>
          <w:rFonts w:ascii="Times New Roman" w:hAnsi="Times New Roman" w:cs="Times New Roman"/>
          <w:sz w:val="22"/>
          <w:szCs w:val="22"/>
        </w:rPr>
        <w:t xml:space="preserve"> μπορούν τώρα να ευθυγραμμιστούν με τ</w:t>
      </w:r>
      <w:r w:rsidR="00F36137" w:rsidRPr="0065753E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65753E">
        <w:rPr>
          <w:rFonts w:ascii="Times New Roman" w:hAnsi="Times New Roman" w:cs="Times New Roman"/>
          <w:sz w:val="22"/>
          <w:szCs w:val="22"/>
        </w:rPr>
        <w:t xml:space="preserve">ν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Κανονισμό Τ</w:t>
      </w:r>
      <w:r w:rsidRPr="0065753E">
        <w:rPr>
          <w:rFonts w:ascii="Times New Roman" w:hAnsi="Times New Roman" w:cs="Times New Roman"/>
          <w:sz w:val="22"/>
          <w:szCs w:val="22"/>
        </w:rPr>
        <w:t>αξινόμηση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65753E">
        <w:rPr>
          <w:rFonts w:ascii="Times New Roman" w:hAnsi="Times New Roman" w:cs="Times New Roman"/>
          <w:sz w:val="22"/>
          <w:szCs w:val="22"/>
        </w:rPr>
        <w:t xml:space="preserve">.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γ</w:t>
      </w:r>
      <w:r w:rsidRPr="0065753E">
        <w:rPr>
          <w:rFonts w:ascii="Times New Roman" w:hAnsi="Times New Roman" w:cs="Times New Roman"/>
          <w:sz w:val="22"/>
          <w:szCs w:val="22"/>
        </w:rPr>
        <w:t>. η κατασκευή όλων των μηχανημάτων που χρησιμοποιούν υδρογόνο έχει συμπεριληφθεί ως επιλέξιμη δραστηριότητα και θα ευθυγραμμιστεί αυτόματα υπό την προϋπόθεση ότι πληροί τα κριτήρια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μη πρόκλησης σημαντικής βλάβης</w:t>
      </w:r>
      <w:r w:rsidRPr="0065753E">
        <w:rPr>
          <w:rFonts w:ascii="Times New Roman" w:hAnsi="Times New Roman" w:cs="Times New Roman"/>
          <w:sz w:val="22"/>
          <w:szCs w:val="22"/>
        </w:rPr>
        <w:t xml:space="preserve"> 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(</w:t>
      </w:r>
      <w:r w:rsidRPr="0065753E">
        <w:rPr>
          <w:rFonts w:ascii="Times New Roman" w:hAnsi="Times New Roman" w:cs="Times New Roman"/>
          <w:sz w:val="22"/>
          <w:szCs w:val="22"/>
        </w:rPr>
        <w:t>DSNH</w:t>
      </w:r>
      <w:r w:rsidR="00F36137" w:rsidRPr="0065753E">
        <w:rPr>
          <w:rFonts w:ascii="Times New Roman" w:hAnsi="Times New Roman" w:cs="Times New Roman"/>
          <w:sz w:val="22"/>
          <w:szCs w:val="22"/>
          <w:lang w:val="el-GR"/>
        </w:rPr>
        <w:t>)</w:t>
      </w:r>
      <w:r w:rsidRPr="0065753E">
        <w:rPr>
          <w:rFonts w:ascii="Times New Roman" w:hAnsi="Times New Roman" w:cs="Times New Roman"/>
          <w:sz w:val="22"/>
          <w:szCs w:val="22"/>
        </w:rPr>
        <w:t>.</w:t>
      </w:r>
    </w:p>
    <w:p w14:paraId="2CE36D99" w14:textId="77777777" w:rsidR="00766D54" w:rsidRPr="0065753E" w:rsidRDefault="00766D54" w:rsidP="00766D54">
      <w:pPr>
        <w:rPr>
          <w:rFonts w:ascii="Times New Roman" w:hAnsi="Times New Roman" w:cs="Times New Roman"/>
          <w:sz w:val="22"/>
          <w:szCs w:val="22"/>
        </w:rPr>
      </w:pPr>
    </w:p>
    <w:p w14:paraId="4C6C67E9" w14:textId="1F3DEBEC" w:rsidR="00F264CA" w:rsidRDefault="00697490" w:rsidP="001B3856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97490">
        <w:rPr>
          <w:rFonts w:ascii="Times New Roman" w:hAnsi="Times New Roman" w:cs="Times New Roman"/>
          <w:sz w:val="22"/>
          <w:szCs w:val="22"/>
          <w:lang w:val="el-GR"/>
        </w:rPr>
        <w:t xml:space="preserve">δ. </w:t>
      </w:r>
      <w:r w:rsidR="003D15DC" w:rsidRPr="00697490">
        <w:rPr>
          <w:rFonts w:ascii="Times New Roman" w:hAnsi="Times New Roman" w:cs="Times New Roman"/>
          <w:sz w:val="22"/>
          <w:szCs w:val="22"/>
          <w:lang w:val="el-GR"/>
        </w:rPr>
        <w:t>Συμπεράσματα</w:t>
      </w:r>
    </w:p>
    <w:p w14:paraId="25907BE7" w14:textId="77777777" w:rsidR="00697490" w:rsidRPr="00697490" w:rsidRDefault="00697490" w:rsidP="001B3856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3D3F49E3" w14:textId="4C0A7735" w:rsidR="001B3856" w:rsidRPr="0065753E" w:rsidRDefault="00766D54" w:rsidP="001B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753E">
        <w:rPr>
          <w:rFonts w:ascii="Times New Roman" w:hAnsi="Times New Roman" w:cs="Times New Roman"/>
          <w:sz w:val="22"/>
          <w:szCs w:val="22"/>
        </w:rPr>
        <w:t xml:space="preserve">Όσον αφορά τη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μεταφορά</w:t>
      </w:r>
      <w:r w:rsidRPr="0065753E">
        <w:rPr>
          <w:rFonts w:ascii="Times New Roman" w:hAnsi="Times New Roman" w:cs="Times New Roman"/>
          <w:sz w:val="22"/>
          <w:szCs w:val="22"/>
        </w:rPr>
        <w:t xml:space="preserve"> και τη διανομή ανανεώσιμων και χαμηλών εκπομπών άνθρακα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αερίων</w:t>
      </w:r>
      <w:r w:rsidRPr="0065753E">
        <w:rPr>
          <w:rFonts w:ascii="Times New Roman" w:hAnsi="Times New Roman" w:cs="Times New Roman"/>
          <w:sz w:val="22"/>
          <w:szCs w:val="22"/>
        </w:rPr>
        <w:t xml:space="preserve">, η έλλειψη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ουσιαστικών </w:t>
      </w:r>
      <w:r w:rsidRPr="0065753E">
        <w:rPr>
          <w:rFonts w:ascii="Times New Roman" w:hAnsi="Times New Roman" w:cs="Times New Roman"/>
          <w:sz w:val="22"/>
          <w:szCs w:val="22"/>
        </w:rPr>
        <w:t>αλλαγ</w:t>
      </w:r>
      <w:r w:rsidR="001B3856" w:rsidRPr="0065753E">
        <w:rPr>
          <w:rFonts w:ascii="Times New Roman" w:hAnsi="Times New Roman" w:cs="Times New Roman"/>
          <w:sz w:val="22"/>
          <w:szCs w:val="22"/>
        </w:rPr>
        <w:t>ώ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65753E">
        <w:rPr>
          <w:rFonts w:ascii="Times New Roman" w:hAnsi="Times New Roman" w:cs="Times New Roman"/>
          <w:sz w:val="22"/>
          <w:szCs w:val="22"/>
        </w:rPr>
        <w:t xml:space="preserve"> δείχνει ότι η άποψη της Επιτροπής σχετικά με τη δραστηριότητα αυτή έχει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διαμορφωθεί</w:t>
      </w:r>
      <w:r w:rsidRPr="0065753E">
        <w:rPr>
          <w:rFonts w:ascii="Times New Roman" w:hAnsi="Times New Roman" w:cs="Times New Roman"/>
          <w:sz w:val="22"/>
          <w:szCs w:val="22"/>
        </w:rPr>
        <w:t xml:space="preserve"> σε μεγάλο βαθμό. Δεν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αναμένεται</w:t>
      </w:r>
      <w:r w:rsidRPr="0065753E">
        <w:rPr>
          <w:rFonts w:ascii="Times New Roman" w:hAnsi="Times New Roman" w:cs="Times New Roman"/>
          <w:sz w:val="22"/>
          <w:szCs w:val="22"/>
        </w:rPr>
        <w:t xml:space="preserve"> να αλλάξουν </w:t>
      </w:r>
      <w:r w:rsidRPr="0065753E">
        <w:rPr>
          <w:rFonts w:ascii="Times New Roman" w:hAnsi="Times New Roman" w:cs="Times New Roman"/>
          <w:sz w:val="22"/>
          <w:szCs w:val="22"/>
        </w:rPr>
        <w:lastRenderedPageBreak/>
        <w:t xml:space="preserve">περαιτέρω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τα </w:t>
      </w:r>
      <w:r w:rsidRPr="0065753E">
        <w:rPr>
          <w:rFonts w:ascii="Times New Roman" w:hAnsi="Times New Roman" w:cs="Times New Roman"/>
          <w:sz w:val="22"/>
          <w:szCs w:val="22"/>
        </w:rPr>
        <w:t>κριτήρια που σχετίζονται με αυτήν τη δραστηριότητα πριν από την τελική έγκριση.</w:t>
      </w:r>
    </w:p>
    <w:p w14:paraId="08888183" w14:textId="38EAFF7F" w:rsidR="006E328C" w:rsidRPr="0065753E" w:rsidRDefault="00766D54" w:rsidP="001B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5753E">
        <w:rPr>
          <w:rFonts w:ascii="Times New Roman" w:hAnsi="Times New Roman" w:cs="Times New Roman"/>
          <w:sz w:val="22"/>
          <w:szCs w:val="22"/>
        </w:rPr>
        <w:t>Όσον αφορά το φυσικό αέριο, η συμπερίληψη αυτών των νέων κατηγοριών σχετικά με τ</w:t>
      </w:r>
      <w:r w:rsidR="006A030B" w:rsidRPr="0065753E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Pr="0065753E">
        <w:rPr>
          <w:rFonts w:ascii="Times New Roman" w:hAnsi="Times New Roman" w:cs="Times New Roman"/>
          <w:sz w:val="22"/>
          <w:szCs w:val="22"/>
        </w:rPr>
        <w:t>ν «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αλλαγή </w:t>
      </w:r>
      <w:r w:rsidR="003D15DC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καυσίμου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από</w:t>
      </w:r>
      <w:r w:rsidRPr="0065753E">
        <w:rPr>
          <w:rFonts w:ascii="Times New Roman" w:hAnsi="Times New Roman" w:cs="Times New Roman"/>
          <w:sz w:val="22"/>
          <w:szCs w:val="22"/>
        </w:rPr>
        <w:t xml:space="preserve"> άνθρακα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σε αέριο</w:t>
      </w:r>
      <w:r w:rsidRPr="0065753E">
        <w:rPr>
          <w:rFonts w:ascii="Times New Roman" w:hAnsi="Times New Roman" w:cs="Times New Roman"/>
          <w:sz w:val="22"/>
          <w:szCs w:val="22"/>
        </w:rPr>
        <w:t>»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αποτελεί τον </w:t>
      </w:r>
      <w:r w:rsidRPr="0065753E">
        <w:rPr>
          <w:rFonts w:ascii="Times New Roman" w:hAnsi="Times New Roman" w:cs="Times New Roman"/>
          <w:sz w:val="22"/>
          <w:szCs w:val="22"/>
        </w:rPr>
        <w:t xml:space="preserve">προτεινόμενο συμβιβασμό της Επιτροπής που προσπαθεί να καθησυχάσει τα </w:t>
      </w:r>
      <w:r w:rsidR="006A030B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περισσότερο φιλόδοξα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ΚΜ</w:t>
      </w:r>
      <w:r w:rsidRPr="0065753E">
        <w:rPr>
          <w:rFonts w:ascii="Times New Roman" w:hAnsi="Times New Roman" w:cs="Times New Roman"/>
          <w:sz w:val="22"/>
          <w:szCs w:val="22"/>
        </w:rPr>
        <w:t xml:space="preserve"> που έχουν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αντιδράσει </w:t>
      </w:r>
      <w:r w:rsidRPr="0065753E">
        <w:rPr>
          <w:rFonts w:ascii="Times New Roman" w:hAnsi="Times New Roman" w:cs="Times New Roman"/>
          <w:sz w:val="22"/>
          <w:szCs w:val="22"/>
        </w:rPr>
        <w:t xml:space="preserve">σε αυτό το ζήτημα. Αυτές οι νέες κατηγορίες ουσιαστικά σημαίνουν ότι - θεωρητικά -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>η αλλαγή από άνθρακα σε αέριο</w:t>
      </w:r>
      <w:r w:rsidRPr="0065753E">
        <w:rPr>
          <w:rFonts w:ascii="Times New Roman" w:hAnsi="Times New Roman" w:cs="Times New Roman"/>
          <w:sz w:val="22"/>
          <w:szCs w:val="22"/>
        </w:rPr>
        <w:t xml:space="preserve"> ευθυγραμμίστηκε με την ταξινόμηση, τουλάχιστον (i) σε ορισμένες περιοχές της ΕΕ</w:t>
      </w:r>
      <w:r w:rsidR="006A030B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(περιοχές σε μετάβαση)</w:t>
      </w:r>
      <w:r w:rsidRPr="0065753E">
        <w:rPr>
          <w:rFonts w:ascii="Times New Roman" w:hAnsi="Times New Roman" w:cs="Times New Roman"/>
          <w:sz w:val="22"/>
          <w:szCs w:val="22"/>
        </w:rPr>
        <w:t xml:space="preserve">, (ii) έως το 2025 και (iii) υπό αυστηρές συνθήκες συμβατότητας με </w:t>
      </w:r>
      <w:r w:rsidR="001B3856"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εκπομπές </w:t>
      </w:r>
      <w:r w:rsidRPr="0065753E">
        <w:rPr>
          <w:rFonts w:ascii="Times New Roman" w:hAnsi="Times New Roman" w:cs="Times New Roman"/>
          <w:sz w:val="22"/>
          <w:szCs w:val="22"/>
        </w:rPr>
        <w:t xml:space="preserve">GHG. </w:t>
      </w:r>
      <w:r w:rsidRPr="0065753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Ωστόσο, στην πράξη, αυτές οι προϋποθέσεις είναι τόσο αυστηρές που καθιστούν τον συμβιβασμό σχεδόν καθαρά θεωρητικό. Συγκεκριμένα, η </w:t>
      </w:r>
      <w:r w:rsidR="006A030B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προθεσμία</w:t>
      </w:r>
      <w:r w:rsidRPr="0065753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του 2025 είναι πολύ </w:t>
      </w:r>
      <w:r w:rsidR="008C614D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στενή</w:t>
      </w:r>
      <w:r w:rsidRPr="0065753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και δεν ευθυγραμμίζεται με τα τρέχοντα σχέδια </w:t>
      </w:r>
      <w:r w:rsidR="001B3856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απόσυρσης των μονάδων</w:t>
      </w:r>
      <w:r w:rsidRPr="0065753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άνθρακα</w:t>
      </w:r>
      <w:r w:rsidR="008C614D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- λιγνίτη</w:t>
      </w:r>
      <w:r w:rsidRPr="0065753E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Υπενθυμίζουμε ότι η μόνη μονάδα σε περιοχή υπό μετάβαση που μπορεί να αλλάξει καύσιμο </w:t>
      </w:r>
      <w:r w:rsidR="006A030B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στη χώρα μας 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είναι η Πτολεμαΐδα 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V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αλλά βάσει σχεδιασμού </w:t>
      </w:r>
      <w:r w:rsidR="006A030B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αυτό 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θα γίνει το 2028, αφού ακόμη δεν έχει ολοκληρωθεί η αρχική κατασκευή της). Επιπλέον, καμία μονάδα δεν μπορεί να εκπέμπει 270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g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CO</w:t>
      </w:r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2/</w:t>
      </w:r>
      <w:proofErr w:type="spellStart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Kwh</w:t>
      </w:r>
      <w:proofErr w:type="spellEnd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αφού οι πιο αποδοτικές μονάδες εκπέμπουν 350</w:t>
      </w:r>
      <w:proofErr w:type="spellStart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gCO</w:t>
      </w:r>
      <w:proofErr w:type="spellEnd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2/</w:t>
      </w:r>
      <w:proofErr w:type="spellStart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Kwh</w:t>
      </w:r>
      <w:proofErr w:type="spellEnd"/>
      <w:r w:rsidR="006E328C" w:rsidRPr="0065753E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.</w:t>
      </w:r>
    </w:p>
    <w:p w14:paraId="2B89BA93" w14:textId="77777777" w:rsidR="00766D54" w:rsidRPr="0065753E" w:rsidRDefault="00766D54" w:rsidP="001B38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C48F1" w14:textId="0E065177" w:rsidR="000806F2" w:rsidRDefault="007C742A" w:rsidP="00E47EC1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Κατόπιν αυτών και ύστερα πάλι από πρωτοβουλία Ελλάδος και Κύπρου εστάλη στην Ευρ. Επιτροπή νέο κοινό 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non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65753E">
        <w:rPr>
          <w:rFonts w:ascii="Times New Roman" w:hAnsi="Times New Roman" w:cs="Times New Roman"/>
          <w:sz w:val="22"/>
          <w:szCs w:val="22"/>
          <w:lang w:val="en-US"/>
        </w:rPr>
        <w:t>paper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(επισυνάπτεται</w:t>
      </w:r>
      <w:r w:rsidR="00697490" w:rsidRPr="00697490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97490">
        <w:rPr>
          <w:rFonts w:ascii="Times New Roman" w:hAnsi="Times New Roman" w:cs="Times New Roman"/>
          <w:sz w:val="22"/>
          <w:szCs w:val="22"/>
          <w:lang w:val="en-US"/>
        </w:rPr>
        <w:t>non</w:t>
      </w:r>
      <w:r w:rsidR="00697490" w:rsidRPr="0069749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97490">
        <w:rPr>
          <w:rFonts w:ascii="Times New Roman" w:hAnsi="Times New Roman" w:cs="Times New Roman"/>
          <w:sz w:val="22"/>
          <w:szCs w:val="22"/>
          <w:lang w:val="en-US"/>
        </w:rPr>
        <w:t>paper</w:t>
      </w:r>
      <w:r w:rsidR="00697490" w:rsidRPr="00697490">
        <w:rPr>
          <w:rFonts w:ascii="Times New Roman" w:hAnsi="Times New Roman" w:cs="Times New Roman"/>
          <w:sz w:val="22"/>
          <w:szCs w:val="22"/>
          <w:lang w:val="el-GR"/>
        </w:rPr>
        <w:t xml:space="preserve"> 2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) με τις θέσεις </w:t>
      </w:r>
      <w:r w:rsidR="000806F2">
        <w:rPr>
          <w:rFonts w:ascii="Times New Roman" w:hAnsi="Times New Roman" w:cs="Times New Roman"/>
          <w:sz w:val="22"/>
          <w:szCs w:val="22"/>
          <w:lang w:val="el-GR"/>
        </w:rPr>
        <w:t>9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 ΚΜ </w:t>
      </w:r>
      <w:r w:rsidR="000806F2" w:rsidRPr="0065753E">
        <w:rPr>
          <w:rFonts w:ascii="Times New Roman" w:hAnsi="Times New Roman" w:cs="Times New Roman"/>
          <w:color w:val="212121"/>
          <w:sz w:val="22"/>
          <w:szCs w:val="22"/>
          <w:lang w:val="el-GR"/>
        </w:rPr>
        <w:t>(</w:t>
      </w:r>
      <w:r w:rsidR="000806F2" w:rsidRPr="0065753E">
        <w:rPr>
          <w:rFonts w:ascii="Times New Roman" w:hAnsi="Times New Roman" w:cs="Times New Roman"/>
          <w:b/>
          <w:bCs/>
          <w:i/>
          <w:iCs/>
          <w:color w:val="212121"/>
          <w:sz w:val="22"/>
          <w:szCs w:val="22"/>
          <w:lang w:val="el-GR"/>
        </w:rPr>
        <w:t>Βουλγαρία Ελλάδα, Κροατία, Κύπρος, Μάλτα, Ουγγαρία, Πολωνία, Ρουμανία, Τσεχία</w:t>
      </w:r>
      <w:r w:rsidR="000806F2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) </w:t>
      </w:r>
      <w:r w:rsidRPr="0065753E">
        <w:rPr>
          <w:rFonts w:ascii="Times New Roman" w:hAnsi="Times New Roman" w:cs="Times New Roman"/>
          <w:sz w:val="22"/>
          <w:szCs w:val="22"/>
          <w:lang w:val="el-GR"/>
        </w:rPr>
        <w:t xml:space="preserve">επί των ως άνω αλλαγών. </w:t>
      </w:r>
    </w:p>
    <w:p w14:paraId="691FAD90" w14:textId="77777777" w:rsidR="000806F2" w:rsidRDefault="000806F2" w:rsidP="00E47EC1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28961CD5" w14:textId="18E00A58" w:rsidR="00E47EC1" w:rsidRPr="0065753E" w:rsidRDefault="007C742A" w:rsidP="00E47EC1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Η επιστολή των </w:t>
      </w:r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Πολωνών Ευρωβουλευτών 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Jerzy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Buzek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(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EPP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) </w:t>
      </w:r>
      <w:r w:rsidR="008F6184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και 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Bogdan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Rzońca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 xml:space="preserve"> (</w:t>
      </w:r>
      <w:proofErr w:type="spellStart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ECR</w:t>
      </w:r>
      <w:proofErr w:type="spellEnd"/>
      <w:r w:rsidR="00D6729C" w:rsidRPr="000806F2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) κινείται στην ίδια κατεύθυνση και εκφράζει τις ίδιες θέσεις. Ως εκ τούτου εισηγούμαστε την υποστήριξη της σχετικής επιστολής</w:t>
      </w:r>
      <w:r w:rsidR="00D6729C" w:rsidRPr="0065753E">
        <w:rPr>
          <w:rFonts w:ascii="Times New Roman" w:hAnsi="Times New Roman" w:cs="Times New Roman"/>
          <w:sz w:val="22"/>
          <w:szCs w:val="22"/>
          <w:lang w:val="el-GR"/>
        </w:rPr>
        <w:t>.</w:t>
      </w:r>
    </w:p>
    <w:sectPr w:rsidR="00E47EC1" w:rsidRPr="0065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31FB"/>
    <w:multiLevelType w:val="hybridMultilevel"/>
    <w:tmpl w:val="54C8E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54"/>
    <w:rsid w:val="00046D91"/>
    <w:rsid w:val="000806F2"/>
    <w:rsid w:val="001B3856"/>
    <w:rsid w:val="00240D29"/>
    <w:rsid w:val="00363674"/>
    <w:rsid w:val="003D15DC"/>
    <w:rsid w:val="00440947"/>
    <w:rsid w:val="004E6DF3"/>
    <w:rsid w:val="005A642E"/>
    <w:rsid w:val="0065753E"/>
    <w:rsid w:val="00697490"/>
    <w:rsid w:val="006A030B"/>
    <w:rsid w:val="006E328C"/>
    <w:rsid w:val="00766D54"/>
    <w:rsid w:val="007C742A"/>
    <w:rsid w:val="008C614D"/>
    <w:rsid w:val="008E5DE7"/>
    <w:rsid w:val="008F6184"/>
    <w:rsid w:val="00944756"/>
    <w:rsid w:val="00AA2151"/>
    <w:rsid w:val="00D6729C"/>
    <w:rsid w:val="00DA7774"/>
    <w:rsid w:val="00E47EC1"/>
    <w:rsid w:val="00F264CA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D621D"/>
  <w15:chartTrackingRefBased/>
  <w15:docId w15:val="{0596B3F6-D15D-CD44-A55F-7E81C52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766D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customStyle="1" w:styleId="Standard">
    <w:name w:val="Standard"/>
    <w:qFormat/>
    <w:rsid w:val="00766D54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lang w:val="en-GB" w:eastAsia="zh-CN"/>
    </w:rPr>
  </w:style>
  <w:style w:type="paragraph" w:customStyle="1" w:styleId="1">
    <w:name w:val="Παράγραφος λίστας1"/>
    <w:basedOn w:val="Standard"/>
    <w:link w:val="1Char"/>
    <w:uiPriority w:val="9"/>
    <w:qFormat/>
    <w:rsid w:val="00766D54"/>
    <w:pPr>
      <w:ind w:left="72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-GR" w:eastAsia="en-US"/>
    </w:rPr>
  </w:style>
  <w:style w:type="paragraph" w:styleId="a3">
    <w:name w:val="List Paragraph"/>
    <w:basedOn w:val="a"/>
    <w:uiPriority w:val="34"/>
    <w:qFormat/>
    <w:rsid w:val="001B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ΜΑΣΣΑΡΑΣ</dc:creator>
  <cp:keywords/>
  <dc:description/>
  <cp:lastModifiedBy>ΠΑΝΑΓΙΩΤΗΣ ΜΑΣΣΑΡΑΣ</cp:lastModifiedBy>
  <cp:revision>8</cp:revision>
  <dcterms:created xsi:type="dcterms:W3CDTF">2021-04-07T10:50:00Z</dcterms:created>
  <dcterms:modified xsi:type="dcterms:W3CDTF">2021-04-07T12:00:00Z</dcterms:modified>
</cp:coreProperties>
</file>