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A1" w:rsidRDefault="001041EC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2981325" cy="1619250"/>
            <wp:effectExtent l="0" t="0" r="0" b="0"/>
            <wp:docPr id="1" name="image1.png" descr="LOGO_3 COLORS_1920x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3 COLORS_1920x192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63A1" w:rsidRDefault="001041EC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E23ABE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.7.2021</w:t>
      </w:r>
    </w:p>
    <w:p w:rsidR="008263A1" w:rsidRDefault="001041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ΠΡΟΣ ΤΟ ΠΡΟΕΔΡΕΙΟ </w:t>
      </w:r>
    </w:p>
    <w:p w:rsidR="008263A1" w:rsidRDefault="001041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ΤΗΣ </w:t>
      </w:r>
    </w:p>
    <w:p w:rsidR="008263A1" w:rsidRDefault="001041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ΒΟΥΛΗΣ</w:t>
      </w:r>
    </w:p>
    <w:p w:rsidR="008263A1" w:rsidRDefault="008263A1">
      <w:pPr>
        <w:jc w:val="center"/>
        <w:rPr>
          <w:sz w:val="28"/>
          <w:szCs w:val="28"/>
        </w:rPr>
      </w:pPr>
    </w:p>
    <w:p w:rsidR="008263A1" w:rsidRDefault="00104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ΑΝΑΦΟΡΑ</w:t>
      </w:r>
    </w:p>
    <w:p w:rsidR="008263A1" w:rsidRDefault="001041E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ΤΟΝ ΥΠΟΥΡΓΟ ΝΑΥΤΙΛΙΑΣ </w:t>
      </w:r>
    </w:p>
    <w:p w:rsidR="008263A1" w:rsidRDefault="001041E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&amp; </w:t>
      </w:r>
    </w:p>
    <w:p w:rsidR="008263A1" w:rsidRDefault="001041E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ΝΗΣΙΩΤΙΚΗΣ ΠΟΛΙΤΙΚΗΣ</w:t>
      </w:r>
    </w:p>
    <w:p w:rsidR="008263A1" w:rsidRDefault="008263A1">
      <w:pPr>
        <w:rPr>
          <w:sz w:val="24"/>
          <w:szCs w:val="24"/>
        </w:rPr>
      </w:pPr>
      <w:bookmarkStart w:id="0" w:name="_gjdgxs" w:colFirst="0" w:colLast="0"/>
      <w:bookmarkEnd w:id="0"/>
    </w:p>
    <w:p w:rsidR="008263A1" w:rsidRDefault="008263A1">
      <w:pPr>
        <w:jc w:val="center"/>
        <w:rPr>
          <w:sz w:val="24"/>
          <w:szCs w:val="24"/>
        </w:rPr>
      </w:pPr>
    </w:p>
    <w:p w:rsidR="008263A1" w:rsidRDefault="001041E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Η Ρυθμιστική Αρχή Λιμένων (ΡΑΛ) </w:t>
      </w:r>
      <w:r w:rsidR="00965681">
        <w:rPr>
          <w:b/>
          <w:sz w:val="24"/>
          <w:szCs w:val="24"/>
        </w:rPr>
        <w:t>εκθέτει ευθέως</w:t>
      </w:r>
      <w:r w:rsidR="001F2FA4">
        <w:rPr>
          <w:b/>
          <w:sz w:val="24"/>
          <w:szCs w:val="24"/>
        </w:rPr>
        <w:t xml:space="preserve"> τον </w:t>
      </w:r>
      <w:r w:rsidR="00055B45">
        <w:rPr>
          <w:b/>
          <w:sz w:val="24"/>
          <w:szCs w:val="24"/>
        </w:rPr>
        <w:t xml:space="preserve">Υπουργό, </w:t>
      </w:r>
      <w:r w:rsidR="00650980">
        <w:rPr>
          <w:b/>
          <w:sz w:val="24"/>
          <w:szCs w:val="24"/>
        </w:rPr>
        <w:t>επιβεβαιώνοντας πλήρως τις</w:t>
      </w:r>
      <w:r w:rsidR="00D8510E">
        <w:rPr>
          <w:b/>
          <w:sz w:val="24"/>
          <w:szCs w:val="24"/>
        </w:rPr>
        <w:t xml:space="preserve"> α</w:t>
      </w:r>
      <w:r w:rsidR="00650980">
        <w:rPr>
          <w:b/>
          <w:sz w:val="24"/>
          <w:szCs w:val="24"/>
        </w:rPr>
        <w:t xml:space="preserve">ιτιάσεις </w:t>
      </w:r>
      <w:r w:rsidR="00E0475A">
        <w:rPr>
          <w:b/>
          <w:sz w:val="24"/>
          <w:szCs w:val="24"/>
        </w:rPr>
        <w:t>μας</w:t>
      </w:r>
      <w:r w:rsidR="00644F8B">
        <w:rPr>
          <w:b/>
          <w:sz w:val="24"/>
          <w:szCs w:val="24"/>
        </w:rPr>
        <w:t>,</w:t>
      </w:r>
      <w:r w:rsidR="00D678EA">
        <w:rPr>
          <w:b/>
          <w:sz w:val="24"/>
          <w:szCs w:val="24"/>
        </w:rPr>
        <w:t xml:space="preserve"> για το γεγονός ότι ανακάλεσε 18 </w:t>
      </w:r>
      <w:r w:rsidR="00E03A11">
        <w:rPr>
          <w:b/>
          <w:sz w:val="24"/>
          <w:szCs w:val="24"/>
        </w:rPr>
        <w:t>κανονιστικές</w:t>
      </w:r>
      <w:r w:rsidR="00D678EA">
        <w:rPr>
          <w:b/>
          <w:sz w:val="24"/>
          <w:szCs w:val="24"/>
        </w:rPr>
        <w:t xml:space="preserve"> πράξεις </w:t>
      </w:r>
      <w:r w:rsidR="00A50A87">
        <w:rPr>
          <w:b/>
          <w:sz w:val="24"/>
          <w:szCs w:val="24"/>
        </w:rPr>
        <w:t xml:space="preserve">της </w:t>
      </w:r>
      <w:r w:rsidR="00EA64D7">
        <w:rPr>
          <w:b/>
          <w:sz w:val="24"/>
          <w:szCs w:val="24"/>
        </w:rPr>
        <w:t xml:space="preserve">Αρχής για τη διαχείριση </w:t>
      </w:r>
      <w:r w:rsidR="006D14A5">
        <w:rPr>
          <w:b/>
          <w:sz w:val="24"/>
          <w:szCs w:val="24"/>
        </w:rPr>
        <w:t>σ</w:t>
      </w:r>
      <w:r w:rsidR="00EA64D7">
        <w:rPr>
          <w:b/>
          <w:sz w:val="24"/>
          <w:szCs w:val="24"/>
        </w:rPr>
        <w:t>τερεών</w:t>
      </w:r>
      <w:r w:rsidR="005A2647">
        <w:rPr>
          <w:b/>
          <w:sz w:val="24"/>
          <w:szCs w:val="24"/>
        </w:rPr>
        <w:t xml:space="preserve"> αποβλήτων</w:t>
      </w:r>
      <w:r w:rsidR="00A50A87">
        <w:rPr>
          <w:b/>
          <w:sz w:val="24"/>
          <w:szCs w:val="24"/>
        </w:rPr>
        <w:t xml:space="preserve"> </w:t>
      </w:r>
      <w:r w:rsidR="00422DC2">
        <w:rPr>
          <w:b/>
          <w:sz w:val="24"/>
          <w:szCs w:val="24"/>
        </w:rPr>
        <w:t>ενάντια</w:t>
      </w:r>
      <w:r w:rsidR="00D678EA">
        <w:rPr>
          <w:b/>
          <w:sz w:val="24"/>
          <w:szCs w:val="24"/>
        </w:rPr>
        <w:t xml:space="preserve"> στο δημόσιο </w:t>
      </w:r>
      <w:r w:rsidR="00A50A87">
        <w:rPr>
          <w:b/>
          <w:sz w:val="24"/>
          <w:szCs w:val="24"/>
        </w:rPr>
        <w:t>συμφέρον και τον υγιή ανταγωνισμό.</w:t>
      </w:r>
    </w:p>
    <w:p w:rsidR="00EA32C0" w:rsidRDefault="00EA32C0">
      <w:pPr>
        <w:spacing w:line="360" w:lineRule="auto"/>
        <w:jc w:val="both"/>
        <w:rPr>
          <w:b/>
          <w:sz w:val="24"/>
          <w:szCs w:val="24"/>
        </w:rPr>
      </w:pPr>
    </w:p>
    <w:p w:rsidR="008263A1" w:rsidRDefault="001041EC">
      <w:pPr>
        <w:spacing w:line="360" w:lineRule="auto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Ο Βουλευτής Β’ Πειραιά και Κ.Ε. Γιάννης </w:t>
      </w:r>
      <w:proofErr w:type="spellStart"/>
      <w:r>
        <w:rPr>
          <w:sz w:val="24"/>
          <w:szCs w:val="24"/>
        </w:rPr>
        <w:t>Ραγκούσης</w:t>
      </w:r>
      <w:proofErr w:type="spellEnd"/>
      <w:r>
        <w:rPr>
          <w:sz w:val="24"/>
          <w:szCs w:val="24"/>
        </w:rPr>
        <w:t xml:space="preserve"> καταθέτει ως Αναφορά 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237/2021 Απόφαση της Ρυθμιστικής Αρχής Λιμένων (ΡΑΛ) προς τον Υπουργό Ναυτιλίας, στην οποία η Αρχή διατυπώνει σοβαρούς προβληματισμούς επί της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r>
        <w:rPr>
          <w:sz w:val="23"/>
          <w:szCs w:val="23"/>
        </w:rPr>
        <w:t>1000.0/31277/28.4.2021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απόφασης του Υπουργού, με την οποία ανακλήθηκαν 18 κανονιστικές πράξεις της, σχετιζόμενες με τη διαχείριση των στερεών αποβλήτων. </w:t>
      </w:r>
    </w:p>
    <w:p w:rsidR="008263A1" w:rsidRDefault="001041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Απόφαση της ΡΑΛ καταλήγει στα εξής συμπεράσματα:</w:t>
      </w:r>
    </w:p>
    <w:p w:rsidR="008263A1" w:rsidRDefault="001041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«Δεν προκύπτουν </w:t>
      </w:r>
    </w:p>
    <w:p w:rsidR="008263A1" w:rsidRDefault="00104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(α) οι κατά τρόπο εξατομικευμένο λόγοι για τους οποίους κρίθηκαν μη νόμιμες οι κανονιστικές πράξεις</w:t>
      </w:r>
    </w:p>
    <w:p w:rsidR="008263A1" w:rsidRDefault="001041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(β) εάν η ανάκληση έλαβε χώρα κατ’ ενάσκηση διακριτικής ευχέρειας (και με βάση ποια κριτήρια αυτή ασκήθηκε) ή </w:t>
      </w:r>
      <w:proofErr w:type="spellStart"/>
      <w:r>
        <w:rPr>
          <w:color w:val="000000"/>
          <w:sz w:val="23"/>
          <w:szCs w:val="23"/>
        </w:rPr>
        <w:t>δεσμίας</w:t>
      </w:r>
      <w:proofErr w:type="spellEnd"/>
      <w:r>
        <w:rPr>
          <w:color w:val="000000"/>
          <w:sz w:val="23"/>
          <w:szCs w:val="23"/>
        </w:rPr>
        <w:t xml:space="preserve"> αρμοδιότητας </w:t>
      </w:r>
    </w:p>
    <w:p w:rsidR="008263A1" w:rsidRDefault="001041E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(γ) οι συγκεκριμένοι λόγοι δημοσίου συμφέροντος οι οποίοι επιτρέπουν και επιβάλουν την ανάκλησή τους</w:t>
      </w:r>
      <w:r w:rsidR="006E36A9" w:rsidRPr="006E36A9">
        <w:rPr>
          <w:sz w:val="23"/>
          <w:szCs w:val="23"/>
        </w:rPr>
        <w:t>”</w:t>
      </w:r>
      <w:r>
        <w:rPr>
          <w:sz w:val="23"/>
          <w:szCs w:val="23"/>
        </w:rPr>
        <w:t>.</w:t>
      </w:r>
    </w:p>
    <w:p w:rsidR="008263A1" w:rsidRDefault="001041E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Ειδικότερα,</w:t>
      </w:r>
    </w:p>
    <w:p w:rsidR="008263A1" w:rsidRDefault="00104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212121"/>
          <w:sz w:val="24"/>
          <w:szCs w:val="24"/>
          <w:highlight w:val="white"/>
        </w:rPr>
      </w:pPr>
      <w:r>
        <w:rPr>
          <w:color w:val="000000"/>
          <w:sz w:val="23"/>
          <w:szCs w:val="23"/>
        </w:rPr>
        <w:t xml:space="preserve">αναφορικά </w:t>
      </w:r>
      <w:r>
        <w:rPr>
          <w:color w:val="212121"/>
          <w:sz w:val="24"/>
          <w:szCs w:val="24"/>
          <w:highlight w:val="white"/>
        </w:rPr>
        <w:t xml:space="preserve">με την υπ’ </w:t>
      </w:r>
      <w:proofErr w:type="spellStart"/>
      <w:r>
        <w:rPr>
          <w:color w:val="212121"/>
          <w:sz w:val="24"/>
          <w:szCs w:val="24"/>
          <w:highlight w:val="white"/>
        </w:rPr>
        <w:t>αριθμ</w:t>
      </w:r>
      <w:proofErr w:type="spellEnd"/>
      <w:r>
        <w:rPr>
          <w:color w:val="212121"/>
          <w:sz w:val="24"/>
          <w:szCs w:val="24"/>
          <w:highlight w:val="white"/>
        </w:rPr>
        <w:t>. 41/2017</w:t>
      </w:r>
      <w:r>
        <w:rPr>
          <w:rFonts w:ascii="Quattrocento Sans" w:eastAsia="Quattrocento Sans" w:hAnsi="Quattrocento Sans" w:cs="Quattrocento Sans"/>
          <w:color w:val="212121"/>
          <w:sz w:val="23"/>
          <w:szCs w:val="23"/>
          <w:highlight w:val="white"/>
        </w:rPr>
        <w:t xml:space="preserve"> </w:t>
      </w:r>
      <w:r>
        <w:rPr>
          <w:color w:val="212121"/>
          <w:sz w:val="24"/>
          <w:szCs w:val="24"/>
          <w:highlight w:val="white"/>
        </w:rPr>
        <w:t>απόφαση με θέμα «</w:t>
      </w:r>
      <w:proofErr w:type="spellStart"/>
      <w:r>
        <w:rPr>
          <w:i/>
          <w:color w:val="212121"/>
          <w:sz w:val="24"/>
          <w:szCs w:val="24"/>
          <w:highlight w:val="white"/>
        </w:rPr>
        <w:t>Επικαιροποίηση</w:t>
      </w:r>
      <w:proofErr w:type="spellEnd"/>
      <w:r>
        <w:rPr>
          <w:i/>
          <w:color w:val="212121"/>
          <w:sz w:val="24"/>
          <w:szCs w:val="24"/>
          <w:highlight w:val="white"/>
        </w:rPr>
        <w:t xml:space="preserve"> της υπ’ αριθ. 3/2017 Γνωμοδότησης της Ρυθμιστικής Αρχής Λιμένων με θέμα: </w:t>
      </w:r>
      <w:proofErr w:type="spellStart"/>
      <w:r>
        <w:rPr>
          <w:i/>
          <w:color w:val="212121"/>
          <w:sz w:val="24"/>
          <w:szCs w:val="24"/>
          <w:highlight w:val="white"/>
        </w:rPr>
        <w:t>Πάροχοι</w:t>
      </w:r>
      <w:proofErr w:type="spellEnd"/>
      <w:r>
        <w:rPr>
          <w:i/>
          <w:color w:val="212121"/>
          <w:sz w:val="24"/>
          <w:szCs w:val="24"/>
          <w:highlight w:val="white"/>
        </w:rPr>
        <w:t xml:space="preserve"> στους Ελληνικούς Λιμένες για την Διαχείριση Αποβλήτων τους</w:t>
      </w:r>
      <w:r>
        <w:rPr>
          <w:color w:val="212121"/>
          <w:sz w:val="24"/>
          <w:szCs w:val="24"/>
          <w:highlight w:val="white"/>
        </w:rPr>
        <w:t>», δεν προκύπτουν ειδικότεροι λόγοι που επιβάλλουν την ανάκληση της.</w:t>
      </w:r>
    </w:p>
    <w:p w:rsidR="008263A1" w:rsidRDefault="00104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Αναφορικά με την υπ’ </w:t>
      </w:r>
      <w:proofErr w:type="spellStart"/>
      <w:r>
        <w:rPr>
          <w:color w:val="212121"/>
          <w:sz w:val="24"/>
          <w:szCs w:val="24"/>
          <w:highlight w:val="white"/>
        </w:rPr>
        <w:t>αριθμ</w:t>
      </w:r>
      <w:proofErr w:type="spellEnd"/>
      <w:r>
        <w:rPr>
          <w:color w:val="212121"/>
          <w:sz w:val="24"/>
          <w:szCs w:val="24"/>
          <w:highlight w:val="white"/>
        </w:rPr>
        <w:t>. 62/2018 απόφαση με θέμα: «</w:t>
      </w:r>
      <w:r>
        <w:rPr>
          <w:i/>
          <w:color w:val="212121"/>
          <w:sz w:val="24"/>
          <w:szCs w:val="24"/>
          <w:highlight w:val="white"/>
        </w:rPr>
        <w:t xml:space="preserve">Διαγωνισμός για την παροχή υπηρεσιών παραλαβής στερεών αποβλήτων και καταλοίπων φορτίου πλοίου που προσεγγίζουν τη λιμενική ζώνη της Οργανισμός Λιμένος Πειραιώς Α.Ε. δια της χρήσεως μιας </w:t>
      </w:r>
      <w:proofErr w:type="spellStart"/>
      <w:r>
        <w:rPr>
          <w:i/>
          <w:color w:val="212121"/>
          <w:sz w:val="24"/>
          <w:szCs w:val="24"/>
          <w:highlight w:val="white"/>
        </w:rPr>
        <w:t>αδειοδοτημένης</w:t>
      </w:r>
      <w:proofErr w:type="spellEnd"/>
      <w:r>
        <w:rPr>
          <w:i/>
          <w:color w:val="212121"/>
          <w:sz w:val="24"/>
          <w:szCs w:val="24"/>
          <w:highlight w:val="white"/>
        </w:rPr>
        <w:t xml:space="preserve"> ολοκληρωμένης μονάδας διαχείρισης αποβλήτων</w:t>
      </w:r>
      <w:r>
        <w:rPr>
          <w:color w:val="212121"/>
          <w:sz w:val="24"/>
          <w:szCs w:val="24"/>
          <w:highlight w:val="white"/>
        </w:rPr>
        <w:t xml:space="preserve">», επισημαίνεται ότι η ΟΛΠ ΑΕ </w:t>
      </w:r>
      <w:proofErr w:type="spellStart"/>
      <w:r>
        <w:rPr>
          <w:color w:val="212121"/>
          <w:sz w:val="24"/>
          <w:szCs w:val="24"/>
          <w:highlight w:val="white"/>
        </w:rPr>
        <w:t>εστράφη</w:t>
      </w:r>
      <w:proofErr w:type="spellEnd"/>
      <w:r>
        <w:rPr>
          <w:color w:val="212121"/>
          <w:sz w:val="24"/>
          <w:szCs w:val="24"/>
          <w:highlight w:val="white"/>
        </w:rPr>
        <w:t xml:space="preserve"> εναντίον της Αρχής ενώπιον του Διοικητικού Εφετείου Πειραιά, πλην όμως η προσφυγή της </w:t>
      </w:r>
      <w:proofErr w:type="spellStart"/>
      <w:r>
        <w:rPr>
          <w:color w:val="212121"/>
          <w:sz w:val="24"/>
          <w:szCs w:val="24"/>
          <w:highlight w:val="white"/>
        </w:rPr>
        <w:t>απερρίφθη</w:t>
      </w:r>
      <w:proofErr w:type="spellEnd"/>
      <w:r>
        <w:rPr>
          <w:color w:val="212121"/>
          <w:sz w:val="24"/>
          <w:szCs w:val="24"/>
          <w:highlight w:val="white"/>
        </w:rPr>
        <w:t xml:space="preserve"> με την υπ’ </w:t>
      </w:r>
      <w:proofErr w:type="spellStart"/>
      <w:r>
        <w:rPr>
          <w:color w:val="212121"/>
          <w:sz w:val="24"/>
          <w:szCs w:val="24"/>
          <w:highlight w:val="white"/>
        </w:rPr>
        <w:t>αριθμ</w:t>
      </w:r>
      <w:proofErr w:type="spellEnd"/>
      <w:r>
        <w:rPr>
          <w:color w:val="212121"/>
          <w:sz w:val="24"/>
          <w:szCs w:val="24"/>
          <w:highlight w:val="white"/>
        </w:rPr>
        <w:t xml:space="preserve">. 1350/2019 απόφαση, κατά της οποίας εκκρεμεί αίτηση αναίρεσης. </w:t>
      </w:r>
    </w:p>
    <w:p w:rsidR="008263A1" w:rsidRDefault="00104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>Τέλος, σημειώνεται ότι ο Υπουργός Ναυτιλίας δεν πρόσβαλε την ανωτέρω απόφαση της ΡΑΛ στο Διοικητικό Εφετείο Πειραιά, όπως εδικαιούτο να πράξει, εφόσον την θεωρούσε μη νόμιμη.»</w:t>
      </w:r>
    </w:p>
    <w:p w:rsidR="008263A1" w:rsidRDefault="008263A1">
      <w:pPr>
        <w:spacing w:line="360" w:lineRule="auto"/>
        <w:jc w:val="both"/>
        <w:rPr>
          <w:sz w:val="23"/>
          <w:szCs w:val="23"/>
        </w:rPr>
      </w:pPr>
    </w:p>
    <w:p w:rsidR="008263A1" w:rsidRDefault="001041E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Επισυνάπτεται το αναφερόμενο έγγραφο.</w:t>
      </w:r>
    </w:p>
    <w:p w:rsidR="008263A1" w:rsidRDefault="008263A1">
      <w:pPr>
        <w:spacing w:line="360" w:lineRule="auto"/>
        <w:jc w:val="both"/>
        <w:rPr>
          <w:sz w:val="23"/>
          <w:szCs w:val="23"/>
        </w:rPr>
      </w:pPr>
    </w:p>
    <w:p w:rsidR="008263A1" w:rsidRPr="004D1E2F" w:rsidRDefault="001041EC">
      <w:pPr>
        <w:spacing w:line="360" w:lineRule="auto"/>
        <w:jc w:val="center"/>
        <w:rPr>
          <w:bCs/>
          <w:sz w:val="23"/>
          <w:szCs w:val="23"/>
        </w:rPr>
      </w:pPr>
      <w:r w:rsidRPr="004D1E2F">
        <w:rPr>
          <w:bCs/>
          <w:sz w:val="23"/>
          <w:szCs w:val="23"/>
        </w:rPr>
        <w:t xml:space="preserve">Ο </w:t>
      </w:r>
      <w:proofErr w:type="spellStart"/>
      <w:r w:rsidRPr="004D1E2F">
        <w:rPr>
          <w:bCs/>
          <w:sz w:val="23"/>
          <w:szCs w:val="23"/>
        </w:rPr>
        <w:t>καταθέτων</w:t>
      </w:r>
      <w:proofErr w:type="spellEnd"/>
      <w:r w:rsidRPr="004D1E2F">
        <w:rPr>
          <w:bCs/>
          <w:sz w:val="23"/>
          <w:szCs w:val="23"/>
        </w:rPr>
        <w:t xml:space="preserve"> Βουλευτής</w:t>
      </w:r>
      <w:bookmarkStart w:id="1" w:name="_GoBack"/>
      <w:bookmarkEnd w:id="1"/>
    </w:p>
    <w:p w:rsidR="008263A1" w:rsidRDefault="001041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 xml:space="preserve">Γιάννης </w:t>
      </w:r>
      <w:proofErr w:type="spellStart"/>
      <w:r>
        <w:rPr>
          <w:b/>
          <w:sz w:val="23"/>
          <w:szCs w:val="23"/>
        </w:rPr>
        <w:t>Ραγκούσης</w:t>
      </w:r>
      <w:proofErr w:type="spellEnd"/>
    </w:p>
    <w:sectPr w:rsidR="008263A1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60" w:rsidRDefault="009B7560">
      <w:pPr>
        <w:spacing w:after="0" w:line="240" w:lineRule="auto"/>
      </w:pPr>
      <w:r>
        <w:separator/>
      </w:r>
    </w:p>
  </w:endnote>
  <w:endnote w:type="continuationSeparator" w:id="0">
    <w:p w:rsidR="009B7560" w:rsidRDefault="009B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A1" w:rsidRDefault="001041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2FA4">
      <w:rPr>
        <w:noProof/>
        <w:color w:val="000000"/>
      </w:rPr>
      <w:t>1</w:t>
    </w:r>
    <w:r>
      <w:rPr>
        <w:color w:val="000000"/>
      </w:rPr>
      <w:fldChar w:fldCharType="end"/>
    </w:r>
  </w:p>
  <w:p w:rsidR="008263A1" w:rsidRDefault="00826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60" w:rsidRDefault="009B7560">
      <w:pPr>
        <w:spacing w:after="0" w:line="240" w:lineRule="auto"/>
      </w:pPr>
      <w:r>
        <w:separator/>
      </w:r>
    </w:p>
  </w:footnote>
  <w:footnote w:type="continuationSeparator" w:id="0">
    <w:p w:rsidR="009B7560" w:rsidRDefault="009B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2743"/>
    <w:multiLevelType w:val="multilevel"/>
    <w:tmpl w:val="1ABAD77C"/>
    <w:lvl w:ilvl="0">
      <w:start w:val="1"/>
      <w:numFmt w:val="bullet"/>
      <w:lvlText w:val="●"/>
      <w:lvlJc w:val="left"/>
      <w:pPr>
        <w:ind w:left="765" w:hanging="360"/>
      </w:pPr>
      <w:rPr>
        <w:rFonts w:asciiTheme="majorHAnsi" w:eastAsia="Noto Sans Symbols" w:hAnsiTheme="majorHAnsi" w:cs="Noto Sans Symbol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A1"/>
    <w:rsid w:val="00036B62"/>
    <w:rsid w:val="00055B45"/>
    <w:rsid w:val="001041EC"/>
    <w:rsid w:val="00195C2E"/>
    <w:rsid w:val="001D7B06"/>
    <w:rsid w:val="001F2FA4"/>
    <w:rsid w:val="00422DC2"/>
    <w:rsid w:val="0049152C"/>
    <w:rsid w:val="004D1E2F"/>
    <w:rsid w:val="00573E8D"/>
    <w:rsid w:val="005A2647"/>
    <w:rsid w:val="00634368"/>
    <w:rsid w:val="00644F8B"/>
    <w:rsid w:val="00650980"/>
    <w:rsid w:val="006D14A5"/>
    <w:rsid w:val="006E36A9"/>
    <w:rsid w:val="007150AF"/>
    <w:rsid w:val="00806BC0"/>
    <w:rsid w:val="008263A1"/>
    <w:rsid w:val="00890FC6"/>
    <w:rsid w:val="00965681"/>
    <w:rsid w:val="009B7560"/>
    <w:rsid w:val="009E7BF3"/>
    <w:rsid w:val="00A50A87"/>
    <w:rsid w:val="00A55CFE"/>
    <w:rsid w:val="00A842D2"/>
    <w:rsid w:val="00C866EE"/>
    <w:rsid w:val="00CA4071"/>
    <w:rsid w:val="00D678EA"/>
    <w:rsid w:val="00D74D2F"/>
    <w:rsid w:val="00D8510E"/>
    <w:rsid w:val="00D93EC9"/>
    <w:rsid w:val="00E03A11"/>
    <w:rsid w:val="00E0475A"/>
    <w:rsid w:val="00E220AE"/>
    <w:rsid w:val="00E23ABE"/>
    <w:rsid w:val="00E65A2A"/>
    <w:rsid w:val="00EA32C0"/>
    <w:rsid w:val="00EA64D7"/>
    <w:rsid w:val="00F51FB3"/>
    <w:rsid w:val="00F73D56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325D"/>
  <w15:docId w15:val="{F8541C38-197A-3344-BCC2-4EB6AB9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5</cp:revision>
  <dcterms:created xsi:type="dcterms:W3CDTF">2021-07-23T05:50:00Z</dcterms:created>
  <dcterms:modified xsi:type="dcterms:W3CDTF">2021-07-23T05:53:00Z</dcterms:modified>
</cp:coreProperties>
</file>