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ΔΙΑΚΗΡΥΞΗ</w:t>
      </w: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Cardo" w:cs="Cardo" w:eastAsia="Cardo" w:hAnsi="Cardo"/>
          <w:b w:val="0"/>
          <w:i w:val="0"/>
          <w:smallCaps w:val="0"/>
          <w:strike w:val="0"/>
          <w:color w:val="000000"/>
          <w:sz w:val="28"/>
          <w:szCs w:val="28"/>
          <w:u w:val="none"/>
          <w:shd w:fill="auto" w:val="clear"/>
          <w:vertAlign w:val="baseline"/>
          <w:rtl w:val="0"/>
        </w:rPr>
        <w:t xml:space="preserve">Εμείς, τα Μέλη της Ομάδας Φιλίας Πολιτιστικών Δημιουργών (Cultural Creators Friendship Group- CCFG)</w:t>
      </w: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Δεσμευμένοι στο στόχο της ομάδας CCFG να φέρει στο επίκεντρο της πολιτικής τον Πολιτιστικό και Δημιουργικό Τομέα (ΠΔΤ), επί τη ευκαιρία της έκτακτης Ευρωπαϊκής Συνόδου του Ευρωπαϊκού Συμβουλίου στις 17 και 18 Ιουλίου 2020</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όπου θα συζητηθεί το νέο εργαλείο ανάκαμψης και το Πολυετές Δημοσιονομικό Πλαίσιο (ΠΔΠ) για το 2021-2027·</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Επαινώντας την αλληλεγγύη που έχει δείξει ο τομέας κατά τη διάρκεια της πανδημίας, δίνοντας συχνά την δυνατότητα δωρεάν πρόσβασης σε πολιτιστικό περιεχόμενο μέσω ψηφιακών καναλιών και συμβάλλοντας, με αυτόν τον τρόπο, στην ευημερία του πληθυσμού που βρίσκεται σε εγκλεισμό·</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Πιστεύοντας ότι το ξέσπασμα του COVID-19 καθώς και τα απαραίτητα μέτρα που ελήφθησαν για την αντιμετώπιση της εξάπλωσης της πανδημίας έχουν επηρεάσει σοβαρά τον Πολιτιστικό και Δημιουργικό Τομέα (ΠΔΤ) λόγω του κλεισίματος των πολιτιστικών χώρων (όπως κινηματογράφων, θεάτρων, αιθουσών συναυλιών, γκαλερί, πολιτιστικών ιδρυμάτων, χώρων φεστιβάλ, μουσείων και μουσικών χώρων), δίνοντας έμφαση στις δυσμενείς τάσεις και τις οικονομικές προκλήσεις που αντιμετωπίζει ο ΠΔΤ</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και όντας πεπεισμένοι ότι πρέπει να καταβληθούν όλες οι προσπάθειες για τη διαφύλαξη και την περαιτέρω επιβίωση και ανάπτυξη του ΠΔΤ·</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Επαναλαμβάνοντας την έκκληση του Ευρωπαϊκού Κοινοβουλίου προς την Ένωση και τα Κράτη Μέλη να παρέχουν υποστήριξη στον Πολιτιστικό και Δημιουργικό Τομέα (ΠΔΤ), καθώς ο τομέας αυτός διαδραματίζει σημαντικό ρόλο τόσο στην οικονομία μας όσο και στην κοινωνική μας ζωή, και επηρεάζεται σοβαρά από την τρέχουσα κρίση όπως απεικονίζεται στο Ψήφισμα του Ευρωπαϊκού Κοινοβουλίου της 17</w:t>
      </w:r>
      <w:r w:rsidDel="00000000" w:rsidR="00000000" w:rsidRPr="00000000">
        <w:rPr>
          <w:rFonts w:ascii="Arial" w:cs="Arial" w:eastAsia="Arial" w:hAnsi="Arial"/>
          <w:b w:val="0"/>
          <w:i w:val="0"/>
          <w:smallCaps w:val="0"/>
          <w:strike w:val="0"/>
          <w:color w:val="000000"/>
          <w:sz w:val="22"/>
          <w:szCs w:val="22"/>
          <w:u w:val="none"/>
          <w:shd w:fill="auto" w:val="clear"/>
          <w:vertAlign w:val="subscript"/>
          <w:rtl w:val="0"/>
        </w:rPr>
        <w:t xml:space="preserve">ης</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Απριλίου 2020 σχετικά με τη συντονισμένη δράση της ΕΕ για την καταπολέμηση της πανδημίας COVID-19 και των συνεπειών της (2020/2616 (RSP)</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Pr>
        <w:footnoteReference w:customMarkFollows="0" w:id="3"/>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Λαμβάνοντας υπόψη ότι ο Πολιτιστικός και Δημιουργικός Τομέας (ΠΔΤ) είναι ο τρίτος μεγαλύτερος εργοδότης της ΕΕ, απασχολεί το 7,5% του συνολικού εργατικού δυναμικού και συνεισφέρει 5,3% στο ΑΕΠ της ΕΕ· λαμβάνοντας επίσης υπόψη ότι ο ΠΔΤ είναι ένας από τους πρώτους και πιο σκληρά πληγέντες της πανδημικής κρίσης και θα είναι ένα από τους τελευταίους που θα ανακάμψουν, καθώς και ότι ορισμένοι κλάδοι ενδέχεται να μην μπορέσουν να ανακάμψουν μιας και η δημιουργικότητα στον τομέα αυτό τροφοδοτείται και προέρχεται από αυτοαπασχολούμενους και μικρούς οργανισμούς και επιχειρήσεις·</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Αναγνωρίζοντας ότι ο Πολιτιστικός και Δημιουργικός Τομέας (ΠΔΤ) αντιμετωπίζει διαρθρωτικές προκλήσεις εκτός από τις άμεσες αλλαγές: Σύμφωνα με τις εκτιμήσεις της ίδιας της Επιτροπής, ο ΠΔΤ - ο οποίος ισοδυναμεί με 509 δισ. ευρώ σε προστιθέμενη αξία στο ΑΕΠ και με πάνω από 12 εκατομμύρια θέσεις εργασίας πλήρους απασχόλησης - αναμένεται να έχει χάσει το 80% του κέρδους του κατά το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ο</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τρίμηνο του 2020 λόγω της κρίσης του COVID- 19 και των περιοριστικών μέτρων·</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Πιστεύοντας ακράδαντα ότι η ανακοίνωση του Σχεδίου Ανάκαμψης της Επιτροπής στα τέλη Μαΐου δεν παρέχει καμία εγγύηση στον Πολιτιστικό και Δημιουργικό Τομέα (ΠΔΤ) ότι θα έχει πρόσβαση σε χρηματοδότηση έκτακτης ανάγκης·</w:t>
      </w:r>
    </w:p>
    <w:p w:rsidR="00000000" w:rsidDel="00000000" w:rsidP="00000000" w:rsidRDefault="00000000" w:rsidRPr="00000000" w14:paraId="0000000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Υπενθυμίζοντας ότι ο Πολιτιστικός και Δημιουργικός Τομέας (ΠΔΤ) συμβάλλει σημαντικά στην απασχόληση των νέων, καθώς είναι ο τομέας που απασχολεί συνήθως μεγαλύτερο αριθμό ατόμων ηλικίας μεταξύ 15 και 29</w:t>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superscript"/>
        </w:rPr>
        <w:footnoteReference w:customMarkFollows="0" w:id="4"/>
      </w: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ετών· καταλήγοντας, συνεπώς, στο συμπέρασμα ότι το σχέδιο ανάκαμψης «Νέα Γενιά ΕΕ» (#NextGenerationEU) δεν μπορεί να μην συμπεριλάβει τον ΠΔΤ·</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Υπογραμμίζοντας ότι ο πολιτισμός είναι η κινητήρια δύναμη που ενώνει την Ευρωπαϊκή Ένωση και, γι’ αυτό, μια ευρωπαϊκή στρατηγική ανάκαμψης που βασίζεται στην αλληλεγγύη και τη δικαιοσύνη δεν μπορεί να αντιμετωπίζει τον πολιτισμό ως βοηθητικό εργαλείο, αλλά πρέπει να τον ενσωματώσει σε όλες τις ενέργειές του. Πρέπει να σημειωθεί ότι ο Πολιτιστικός και Δημιουργικός Τομέας (ΠΔΤ) ενισχύει άλλους κλάδους, και συγκεκριμένα διαδραματίζει πρωταρχικό ρόλο στην ενίσχυσή τους. Για παράδειγμα, υπάρχει ισχυρή διασύνδεση και αλληλεξάρτηση μεταξύ του πολιτισμού και του τουρισμού: σύμφωνα με τον Παγκόσμιο Οργανισμό Τουρισμού, τέσσερις στους δέκα τουρίστες επιλέγουν τον προορισμό τους με βάση την πολιτιστική προσφορά του προορισμού</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Pr>
        <w:footnoteReference w:customMarkFollows="0" w:id="5"/>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Παραθέτοντας ότι η αναθεωρημένη πρόταση της Επιτροπής παρουσιάζει 20% μείωση στο Ευρωπαϊκό Σώμα Αλληλεγγύης, 8% μείωση στην Δημιουργική Ευρώπη και 7% μείωση στο Erasmus+, σε σύγκριση με την πρόταση που κατέθεσε η Επιτροπή για το Πολυετές Δημοσιονομικό Πλαίσιο (ΠΔΠ) 2021-2027 το 2018, την ίδια στιγμή που η Δημιουργική Ευρώπη είναι το μόνο πρόγραμμα της ΕΕ που παρέχει άμεση υποστήριξη στον Πολιτιστικό και Δημιουργικό Τομέα (ΠΔΤ) σε ολόκληρη την Ευρώπη. Λαμβάνοντας υπόψη τις πρωτοβουλίες που υποτίθεται ότι πρέπει να καλύψει η Δημιουργική Ευρώπη, ο προϋπολογισμός της δεν είναι ικανός να παράσχει την απαιτούμενη υποστήριξη γι’ αυτό το ήδη υπερκατανεμημένο και υποχρηματοδοτούμενο πρόγραμμα·</w:t>
      </w:r>
    </w:p>
    <w:p w:rsidR="00000000" w:rsidDel="00000000" w:rsidP="00000000" w:rsidRDefault="00000000" w:rsidRPr="00000000" w14:paraId="0000000E">
      <w:pPr>
        <w:spacing w:after="240" w:line="276" w:lineRule="auto"/>
        <w:rPr>
          <w:rFonts w:ascii="Libre Franklin" w:cs="Libre Franklin" w:eastAsia="Libre Franklin" w:hAnsi="Libre Franklin"/>
          <w:color w:val="000000"/>
          <w:sz w:val="23"/>
          <w:szCs w:val="23"/>
        </w:rPr>
      </w:pPr>
      <w:r w:rsidDel="00000000" w:rsidR="00000000" w:rsidRPr="00000000">
        <w:rPr>
          <w:rtl w:val="0"/>
        </w:rPr>
      </w:r>
    </w:p>
    <w:p w:rsidR="00000000" w:rsidDel="00000000" w:rsidP="00000000" w:rsidRDefault="00000000" w:rsidRPr="00000000" w14:paraId="0000000F">
      <w:pPr>
        <w:spacing w:after="240" w:line="276" w:lineRule="auto"/>
        <w:rPr>
          <w:rFonts w:ascii="Libre Franklin" w:cs="Libre Franklin" w:eastAsia="Libre Franklin" w:hAnsi="Libre Franklin"/>
          <w:color w:val="000000"/>
          <w:sz w:val="28"/>
          <w:szCs w:val="28"/>
        </w:rPr>
      </w:pPr>
      <w:r w:rsidDel="00000000" w:rsidR="00000000" w:rsidRPr="00000000">
        <w:rPr>
          <w:rFonts w:ascii="Cardo" w:cs="Cardo" w:eastAsia="Cardo" w:hAnsi="Cardo"/>
          <w:color w:val="000000"/>
          <w:sz w:val="28"/>
          <w:szCs w:val="28"/>
          <w:rtl w:val="0"/>
        </w:rPr>
        <w:t xml:space="preserve">Δηλώνουμε τα ακόλουθα εκ μέρους της ομάδας CCFG: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Καθοδηγούμενη από το άρθρο 167 της Συνθήκης για τη λειτουργία της ΕΕ (ΣΛΕΕ), η Ομάδα Φιλίας Πολιτιστικών Δημιουργών CCFG υποστηρίζει πλήρως τα καλέσματα που ξεκίνησαν από τον Πολιτιστικό και Δημιουργικό Τομέα (ΠΔΤ) για ισχυρά και συστημικά μέτρα υποστήριξης για τον πολιτισμό, προκειμένου να βοηθήσει τον ΠΔΤ να ανακάμψει από αυτήν την άνευ προηγουμένου κρίση.</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Υποστηρίζουμε πλήρως την πρόταση του Ευρωπαϊκού Κοινοβουλίου για διπλασιασμό του προϋπολογισμού της Δημιουργικής Ευρώπης (2,8 δισ. Ευρώ) ως το βασικό πρόγραμμα για την ανάδειξη της Ευρωπαϊκής πολιτιστικής κληρονομιάς (# Double4Culture). Καλούμε την Επιτροπή να στοχεύσει σε καλύτερους ποσοτικούς και ποιοτικούς δείκτες</w:t>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superscript"/>
        </w:rPr>
        <w:footnoteReference w:customMarkFollows="0" w:id="6"/>
      </w: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84"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 διπλασιασμός του προϋπολογισμού της Δημιουργικής Ευρώπης είναι πλέον επιτακτική ανάγκη, τώρα περισσότερο από ποτέ, προκειμένου να προσεγγίσουμε μικρούς οργανισμούς και αυτοαπασχολούμενους καλλιτέχνες, οι οποίοι αγωνίζονται να επιστρέψουν στο προσκήνιο μετά την πανδημική κρίση.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Επιπλέον, ζητάμε την ενσωμάτωση του πολιτισμού σε όλο το Πολυετές Δημοσιονομικό Πλαίσιο (ΠΔΠ), προκειμένου ο πολιτισμός να επωφεληθεί και από άλλα προγράμματα. Προτείνουμε ο προϋπολογισμός για τον πολιτισμό να είναι τουλάχιστον 1% σε όλο το ΠΔΠ.</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Υποστηρίζουμε σθεναρά την άνευ όρων συμπερίληψη του Πολιτιστικού και Δημιουργικού Τομέα (ΠΔΤ) στο Σχέδιο Ανάκαμψης και ζητούμε τη διάθεση, τουλάχιστον, 7% του Ταμείου Ανάκαμψης για τον πολιτισμό, με σαφή εκ των προτέρων κατανομή του προϋπολογισμού στα σχετικά προγράμματα. Προτρέπουμε την Επιτροπή να δώσει σαφείς κατευθυντήριες γραμμές στα Κράτη Μέλη πριν εγκρίνει τα εθνικά τους σχέδια δράσης για να διασφαλίσει ότι το Ταμείο Ανάκαμψης θα φτάσει στο ΠΔΤ σε κάθε χώρα.</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Ζητάμε σημαντική και πρωταρχική υποστήριξη σε μορφή επιχορηγήσεων για Πολιτιστικό και Δημιουργικό Τομέα (ΠΔΤ).</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84"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Ζητάμε την δημιουργία ενός δικτύου συντονισμού σε Ευρωπαϊκό, εθνικό και περιφερειακό επίπεδο, έτσι ώστε η στόχευση και η προσέγγιση των πολιτιστικών φορέων με πρόσθετα κεφάλαια που απορρέουν από την πρωτοβουλία «Επόμενη Γενιά ΕΕ», όπως το REACT-EU που ανέρχεται σε 55 δισ. Ευρώ, καθώς και τα διαρθρωτικά ταμεία και τα ταμεία συνοχής, να στοχεύσουν και να προσεγγίσουν πολιτιστικούς φορείς, παρέχοντας έτσι καλύτερο συντονισμό μεταξύ Ευρωπαϊκού και εθνικού επιπέδου.</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 Πολιτιστικός και Δημιουργικός Τομέας (ΠΔΤ) χαρακτηρίζεται από μεγάλο ποσοστό αυτοαπασχολούμενων και ελεύθερων επαγγελματιών. Προτρέπουμε το Ευρωπαϊκό Κοινοβούλιο, την Ευρωπαϊκή Επιτροπή και τα Κράτη Μέλη να υποστηρίξουν τον ΠΔΤ κατά τρόπο τέτοιο που να λαμβάνουν υπόψη τις επισφαλείς συνθήκες εργασίας που αντιμετωπίζουν πολλοί καλλιτέχνες και δημιουργοί, διασφαλίζοντας παράλληλα μια γεωγραφική ισορροπία και διευκολύνοντας την πρόσβαση σε κονδύλια της ΕΕ για αυτήν την κατηγορία των εργαζομένων.</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284" w:right="0" w:firstLine="0"/>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Libre Franklin" w:cs="Libre Franklin" w:eastAsia="Libre Franklin" w:hAnsi="Libre Franklin"/>
          <w:b w:val="1"/>
          <w:color w:val="000000"/>
          <w:sz w:val="28"/>
          <w:szCs w:val="28"/>
        </w:rPr>
      </w:pPr>
      <w:r w:rsidDel="00000000" w:rsidR="00000000" w:rsidRPr="00000000">
        <w:rPr>
          <w:rFonts w:ascii="Cardo" w:cs="Cardo" w:eastAsia="Cardo" w:hAnsi="Cardo"/>
          <w:b w:val="1"/>
          <w:color w:val="000000"/>
          <w:sz w:val="28"/>
          <w:szCs w:val="28"/>
          <w:rtl w:val="0"/>
        </w:rPr>
        <w:t xml:space="preserve">Υπογραφές: </w:t>
      </w:r>
    </w:p>
    <w:p w:rsidR="00000000" w:rsidDel="00000000" w:rsidP="00000000" w:rsidRDefault="00000000" w:rsidRPr="00000000" w14:paraId="0000001A">
      <w:pPr>
        <w:rPr>
          <w:rFonts w:ascii="Libre Franklin" w:cs="Libre Franklin" w:eastAsia="Libre Franklin" w:hAnsi="Libre Franklin"/>
          <w:b w:val="1"/>
          <w:color w:val="000000"/>
          <w:sz w:val="28"/>
          <w:szCs w:val="28"/>
        </w:rPr>
      </w:pPr>
      <w:r w:rsidDel="00000000" w:rsidR="00000000" w:rsidRPr="00000000">
        <w:rPr>
          <w:rtl w:val="0"/>
        </w:rPr>
      </w:r>
    </w:p>
    <w:p w:rsidR="00000000" w:rsidDel="00000000" w:rsidP="00000000" w:rsidRDefault="00000000" w:rsidRPr="00000000" w14:paraId="0000001B">
      <w:pPr>
        <w:spacing w:after="120" w:lineRule="auto"/>
        <w:rPr>
          <w:rFonts w:ascii="Libre Franklin" w:cs="Libre Franklin" w:eastAsia="Libre Franklin" w:hAnsi="Libre Franklin"/>
          <w:b w:val="1"/>
          <w:color w:val="000000"/>
          <w:sz w:val="28"/>
          <w:szCs w:val="28"/>
        </w:rPr>
      </w:pPr>
      <w:r w:rsidDel="00000000" w:rsidR="00000000" w:rsidRPr="00000000">
        <w:rPr>
          <w:rFonts w:ascii="Cardo" w:cs="Cardo" w:eastAsia="Cardo" w:hAnsi="Cardo"/>
          <w:b w:val="1"/>
          <w:color w:val="000000"/>
          <w:sz w:val="28"/>
          <w:szCs w:val="28"/>
          <w:rtl w:val="0"/>
        </w:rPr>
        <w:t xml:space="preserve">Μέλη της Ομάδας Φιλίας Πολιτιστικών Δημιουργών (Cultural Creators Friendship Group - CCFG):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Alexis Georgoulis (GUE/NGL)</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Dace Melbarde (ECR)</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Niklas Nienass  (Greens/EFA)</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Iban Garcia del Blanco (S&amp;D)</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Domenec Ruiz Devesa (S&amp;D)</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Franz Romeo (Greens/EFA)</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Irena Joveva (Renew Europe)</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Salima Yenbou (Greens/EFA)</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Niyazi Kizilyúrek (GUE/NGL)</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Anne-Sophie Pelletier (GUE/NGL)</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Lukasz Kohut (S&amp;D)</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Marcos Ros Sempere (S&amp;D)</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Tomasz Frankowski (EPP)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Hannes Heide (S&amp;D)</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Diana Riba (Greens/EFA)</w:t>
      </w:r>
    </w:p>
    <w:p w:rsidR="00000000" w:rsidDel="00000000" w:rsidP="00000000" w:rsidRDefault="00000000" w:rsidRPr="00000000" w14:paraId="0000002B">
      <w:pPr>
        <w:spacing w:after="240" w:line="276" w:lineRule="auto"/>
        <w:ind w:left="284" w:hanging="284"/>
        <w:rPr>
          <w:rFonts w:ascii="Quattrocento Sans" w:cs="Quattrocento Sans" w:eastAsia="Quattrocento Sans" w:hAnsi="Quattrocento Sans"/>
          <w:color w:val="000000"/>
          <w:sz w:val="22"/>
          <w:szCs w:val="22"/>
        </w:rPr>
      </w:pPr>
      <w:r w:rsidDel="00000000" w:rsidR="00000000" w:rsidRPr="00000000">
        <w:rPr>
          <w:rtl w:val="0"/>
        </w:rPr>
      </w:r>
    </w:p>
    <w:p w:rsidR="00000000" w:rsidDel="00000000" w:rsidP="00000000" w:rsidRDefault="00000000" w:rsidRPr="00000000" w14:paraId="0000002C">
      <w:pPr>
        <w:spacing w:after="240" w:line="276" w:lineRule="auto"/>
        <w:ind w:left="284" w:hanging="284"/>
        <w:rPr>
          <w:rFonts w:ascii="Libre Franklin" w:cs="Libre Franklin" w:eastAsia="Libre Franklin" w:hAnsi="Libre Franklin"/>
          <w:b w:val="1"/>
          <w:color w:val="000000"/>
          <w:sz w:val="28"/>
          <w:szCs w:val="28"/>
        </w:rPr>
      </w:pPr>
      <w:r w:rsidDel="00000000" w:rsidR="00000000" w:rsidRPr="00000000">
        <w:rPr>
          <w:rFonts w:ascii="Cardo" w:cs="Cardo" w:eastAsia="Cardo" w:hAnsi="Cardo"/>
          <w:b w:val="1"/>
          <w:color w:val="000000"/>
          <w:sz w:val="28"/>
          <w:szCs w:val="28"/>
          <w:rtl w:val="0"/>
        </w:rPr>
        <w:t xml:space="preserve">Άλλα Μέλη του Ευρωπαϊκού Κοινοβουλίου:</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Massimiliano Smeriglio (S&amp;D)</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Martina Michels (GUE/NGL)</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Pernando Barrena (GUE/NGL)</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Peter Pollák (EPP)</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Georgios Georgiou (GUE/NGL)</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Dimitris Papadakis (S&amp;D)</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Lefteris Christoforou (EPP)</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Marisa Matias (GUE/NGL)</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Costas Mavrides (S&amp;D)</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Jose Gusmao (GUE/NGL)</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Monika Vana (Greens/EFA)</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Dragos Pislaru (Renew Europe)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Lina Galvez Munoz (S&amp;D)</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Estrella Dura Ferrandis (S&amp;D)</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Juan Fernando López Aguilar (S&amp;D)</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Clara Aguilera (S&amp;D)</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Elena Kountoura (GUE/NGL)</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Inmaculada Rodríguez-Piñero (S&amp;D)</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Manuel Pizzaro (S&amp;D)</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César Luena (S&amp;D)</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Sunčana Glavak (EPP)</w:t>
      </w:r>
    </w:p>
    <w:p w:rsidR="00000000" w:rsidDel="00000000" w:rsidP="00000000" w:rsidRDefault="00000000" w:rsidRPr="00000000" w14:paraId="00000042">
      <w:pPr>
        <w:spacing w:after="240" w:line="276" w:lineRule="auto"/>
        <w:ind w:left="284" w:hanging="284"/>
        <w:rPr>
          <w:rFonts w:ascii="Quattrocento Sans" w:cs="Quattrocento Sans" w:eastAsia="Quattrocento Sans" w:hAnsi="Quattrocento Sans"/>
          <w:b w:val="1"/>
          <w:color w:val="000000"/>
          <w:sz w:val="22"/>
          <w:szCs w:val="22"/>
        </w:rPr>
      </w:pPr>
      <w:bookmarkStart w:colFirst="0" w:colLast="0" w:name="_gjdgxs" w:id="0"/>
      <w:bookmarkEnd w:id="0"/>
      <w:r w:rsidDel="00000000" w:rsidR="00000000" w:rsidRPr="00000000">
        <w:rPr>
          <w:rtl w:val="0"/>
        </w:rPr>
      </w:r>
    </w:p>
    <w:sectPr>
      <w:headerReference r:id="rId7" w:type="first"/>
      <w:footerReference r:id="rId8" w:type="default"/>
      <w:pgSz w:h="17340" w:w="11905"/>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 w:name="Quattrocento Sans">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CCFG is an informal group consisting of MEPs representing the entirety of the political spectrum that was created in order to bring issues of the Cultural and Creative Sectors (CCS) into political focus and act as a platform for discussion and cooperation with stakeholders and representatives of the CCS.</w:t>
      </w:r>
    </w:p>
  </w:footnote>
  <w:footnote w:id="1">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https://www.consilium.europa.eu/en/meetings/european-council/2020/07/17-18/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Strong global competition, digital shift affecting creators’ revenues, creation, distribution, promotion of and access to content, market fragmented along linguistic lines, poor transnational circulation of European audio-visual productions and market concentration.</w:t>
      </w:r>
    </w:p>
  </w:footnote>
  <w:footnote w:id="3">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European Parliament Resolution of 17 April 2020 on EU Coordinated action to combat COVID-19 pandemic and its consequences (2020/2616(RSP)), 17 April 2020, Brussels, available at: </w:t>
      </w:r>
      <w:hyperlink r:id="rId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https://www.europarl.europa.eu/doceo/document/TA-9-2020-0054_EN.html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47">
      <w:pPr>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UNESCO, Cultural Times: The first global map of cultural and creative industries, 2015, available at: </w:t>
      </w:r>
      <w:hyperlink r:id="rId3">
        <w:r w:rsidDel="00000000" w:rsidR="00000000" w:rsidRPr="00000000">
          <w:rPr>
            <w:color w:val="0563c1"/>
            <w:sz w:val="20"/>
            <w:szCs w:val="20"/>
            <w:u w:val="single"/>
            <w:rtl w:val="0"/>
          </w:rPr>
          <w:t xml:space="preserve">https://en.unesco.org/creativity/sites/creativity/files/cultural_times._the_first_global_map_of_cultural_and_creative_industries.pdf</w:t>
        </w:r>
      </w:hyperlink>
      <w:r w:rsidDel="00000000" w:rsidR="00000000" w:rsidRPr="00000000">
        <w:rPr>
          <w:rtl w:val="0"/>
        </w:rPr>
      </w:r>
    </w:p>
  </w:footnote>
  <w:footnote w:id="5">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World Tourism Organization, Tourism and Culture Synergies, UNWTO, Madrid, 2018, available at : </w:t>
      </w:r>
      <w:hyperlink r:id="rId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https://www.e-unwto.org/doi/pdf/10.18111/9789284418978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49">
      <w:pPr>
        <w:jc w:val="left"/>
        <w:rPr>
          <w:color w:val="000000"/>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sz w:val="20"/>
          <w:szCs w:val="20"/>
          <w:rtl w:val="0"/>
        </w:rPr>
        <w:t xml:space="preserve">Position of the European Parliament adopted at first reading on 28 March 2019 with a view to the adoption of Regulation (EU) …/… of the European Parliament and of the Council establishing the Creative Europe programme (2021 to 2027) and repealing Regulation (EU) No 1295/2013, available at: </w:t>
      </w:r>
      <w:hyperlink r:id="rId5">
        <w:r w:rsidDel="00000000" w:rsidR="00000000" w:rsidRPr="00000000">
          <w:rPr>
            <w:color w:val="0563c1"/>
            <w:sz w:val="20"/>
            <w:szCs w:val="20"/>
            <w:u w:val="single"/>
            <w:rtl w:val="0"/>
          </w:rPr>
          <w:t xml:space="preserve">https://www.europarl.europa.eu/doceo/document/TA-8-2019-0323_EN.html?redirect#title2</w:t>
        </w:r>
      </w:hyperlink>
      <w:r w:rsidDel="00000000" w:rsidR="00000000" w:rsidRPr="00000000">
        <w:rPr>
          <w:color w:val="000000"/>
          <w:sz w:val="20"/>
          <w:szCs w:val="20"/>
          <w:rtl w:val="0"/>
        </w:rPr>
        <w:t xml:space="preserve"> ; Same call was repeated by the Chair of the Committee on Culture and Education, Sabine Verheyen on the 12th May 2020, available at : </w:t>
      </w:r>
      <w:hyperlink r:id="rId6">
        <w:r w:rsidDel="00000000" w:rsidR="00000000" w:rsidRPr="00000000">
          <w:rPr>
            <w:color w:val="0563c1"/>
            <w:sz w:val="20"/>
            <w:szCs w:val="20"/>
            <w:u w:val="single"/>
            <w:rtl w:val="0"/>
          </w:rPr>
          <w:t xml:space="preserve">https://www.europarl.europa.eu/news/en/press-room/20200511IPR78814/culture-committee-chair-verheyen-calls-for-doubling-money-for-creative-europe</w:t>
        </w:r>
      </w:hyperlink>
      <w:r w:rsidDel="00000000" w:rsidR="00000000" w:rsidRPr="00000000">
        <w:rPr>
          <w:color w:val="000000"/>
          <w:sz w:val="20"/>
          <w:szCs w:val="20"/>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5101590</wp:posOffset>
          </wp:positionH>
          <wp:positionV relativeFrom="margin">
            <wp:posOffset>-252094</wp:posOffset>
          </wp:positionV>
          <wp:extent cx="1526540" cy="13150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6540" cy="131508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1353" w:hanging="359.9999999999999"/>
      </w:pPr>
      <w:rPr>
        <w:rFonts w:ascii="Noto Sans Symbols" w:cs="Noto Sans Symbols" w:eastAsia="Noto Sans Symbols" w:hAnsi="Noto Sans Symbols"/>
      </w:rPr>
    </w:lvl>
    <w:lvl w:ilvl="1">
      <w:start w:val="1"/>
      <w:numFmt w:val="bullet"/>
      <w:lvlText w:val="o"/>
      <w:lvlJc w:val="left"/>
      <w:pPr>
        <w:ind w:left="2073" w:hanging="360"/>
      </w:pPr>
      <w:rPr>
        <w:rFonts w:ascii="Courier New" w:cs="Courier New" w:eastAsia="Courier New" w:hAnsi="Courier New"/>
      </w:rPr>
    </w:lvl>
    <w:lvl w:ilvl="2">
      <w:start w:val="1"/>
      <w:numFmt w:val="bullet"/>
      <w:lvlText w:val="▪"/>
      <w:lvlJc w:val="left"/>
      <w:pPr>
        <w:ind w:left="2793" w:hanging="360"/>
      </w:pPr>
      <w:rPr>
        <w:rFonts w:ascii="Noto Sans Symbols" w:cs="Noto Sans Symbols" w:eastAsia="Noto Sans Symbols" w:hAnsi="Noto Sans Symbols"/>
      </w:rPr>
    </w:lvl>
    <w:lvl w:ilvl="3">
      <w:start w:val="1"/>
      <w:numFmt w:val="bullet"/>
      <w:lvlText w:val="●"/>
      <w:lvlJc w:val="left"/>
      <w:pPr>
        <w:ind w:left="3513" w:hanging="360"/>
      </w:pPr>
      <w:rPr>
        <w:rFonts w:ascii="Noto Sans Symbols" w:cs="Noto Sans Symbols" w:eastAsia="Noto Sans Symbols" w:hAnsi="Noto Sans Symbols"/>
      </w:rPr>
    </w:lvl>
    <w:lvl w:ilvl="4">
      <w:start w:val="1"/>
      <w:numFmt w:val="bullet"/>
      <w:lvlText w:val="o"/>
      <w:lvlJc w:val="left"/>
      <w:pPr>
        <w:ind w:left="4233" w:hanging="360"/>
      </w:pPr>
      <w:rPr>
        <w:rFonts w:ascii="Courier New" w:cs="Courier New" w:eastAsia="Courier New" w:hAnsi="Courier New"/>
      </w:rPr>
    </w:lvl>
    <w:lvl w:ilvl="5">
      <w:start w:val="1"/>
      <w:numFmt w:val="bullet"/>
      <w:lvlText w:val="▪"/>
      <w:lvlJc w:val="left"/>
      <w:pPr>
        <w:ind w:left="4953" w:hanging="360"/>
      </w:pPr>
      <w:rPr>
        <w:rFonts w:ascii="Noto Sans Symbols" w:cs="Noto Sans Symbols" w:eastAsia="Noto Sans Symbols" w:hAnsi="Noto Sans Symbols"/>
      </w:rPr>
    </w:lvl>
    <w:lvl w:ilvl="6">
      <w:start w:val="1"/>
      <w:numFmt w:val="bullet"/>
      <w:lvlText w:val="●"/>
      <w:lvlJc w:val="left"/>
      <w:pPr>
        <w:ind w:left="5673" w:hanging="360"/>
      </w:pPr>
      <w:rPr>
        <w:rFonts w:ascii="Noto Sans Symbols" w:cs="Noto Sans Symbols" w:eastAsia="Noto Sans Symbols" w:hAnsi="Noto Sans Symbols"/>
      </w:rPr>
    </w:lvl>
    <w:lvl w:ilvl="7">
      <w:start w:val="1"/>
      <w:numFmt w:val="bullet"/>
      <w:lvlText w:val="o"/>
      <w:lvlJc w:val="left"/>
      <w:pPr>
        <w:ind w:left="6393" w:hanging="360"/>
      </w:pPr>
      <w:rPr>
        <w:rFonts w:ascii="Courier New" w:cs="Courier New" w:eastAsia="Courier New" w:hAnsi="Courier New"/>
      </w:rPr>
    </w:lvl>
    <w:lvl w:ilvl="8">
      <w:start w:val="1"/>
      <w:numFmt w:val="bullet"/>
      <w:lvlText w:val="▪"/>
      <w:lvlJc w:val="left"/>
      <w:pPr>
        <w:ind w:left="7113"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11" Type="http://schemas.openxmlformats.org/officeDocument/2006/relationships/font" Target="fonts/QuattrocentoSans-boldItalic.ttf"/><Relationship Id="rId10" Type="http://schemas.openxmlformats.org/officeDocument/2006/relationships/font" Target="fonts/QuattrocentoSans-italic.ttf"/><Relationship Id="rId9" Type="http://schemas.openxmlformats.org/officeDocument/2006/relationships/font" Target="fonts/QuattrocentoSans-bold.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 Id="rId8" Type="http://schemas.openxmlformats.org/officeDocument/2006/relationships/font" Target="fonts/QuattrocentoSans-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meetings/european-council/2020/07/17-18/" TargetMode="External"/><Relationship Id="rId2" Type="http://schemas.openxmlformats.org/officeDocument/2006/relationships/hyperlink" Target="https://www.europarl.europa.eu/doceo/document/TA-9-2020-0054_EN.html" TargetMode="External"/><Relationship Id="rId3" Type="http://schemas.openxmlformats.org/officeDocument/2006/relationships/hyperlink" Target="https://en.unesco.org/creativity/sites/creativity/files/cultural_times._the_first_global_map_of_cultural_and_creative_industries.pdf" TargetMode="External"/><Relationship Id="rId4" Type="http://schemas.openxmlformats.org/officeDocument/2006/relationships/hyperlink" Target="https://www.e-unwto.org/doi/pdf/10.18111/9789284418978" TargetMode="External"/><Relationship Id="rId5" Type="http://schemas.openxmlformats.org/officeDocument/2006/relationships/hyperlink" Target="https://www.europarl.europa.eu/doceo/document/TA-8-2019-0323_EN.html?redirect#title2" TargetMode="External"/><Relationship Id="rId6" Type="http://schemas.openxmlformats.org/officeDocument/2006/relationships/hyperlink" Target="https://www.europarl.europa.eu/news/en/press-room/20200511IPR78814/culture-committee-chair-verheyen-calls-for-doubling-money-for-creative-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